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3CCA" w14:textId="0392491D" w:rsidR="007F2FBA" w:rsidRDefault="004266E4" w:rsidP="00AC5167">
      <w:r>
        <w:rPr>
          <w:noProof/>
        </w:rPr>
        <w:drawing>
          <wp:anchor distT="0" distB="0" distL="114300" distR="114300" simplePos="0" relativeHeight="251657728" behindDoc="0" locked="0" layoutInCell="1" allowOverlap="1" wp14:anchorId="2D1CFEFB" wp14:editId="41C6D2D0">
            <wp:simplePos x="0" y="0"/>
            <wp:positionH relativeFrom="column">
              <wp:posOffset>-914400</wp:posOffset>
            </wp:positionH>
            <wp:positionV relativeFrom="paragraph">
              <wp:posOffset>-794385</wp:posOffset>
            </wp:positionV>
            <wp:extent cx="7886700" cy="81597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6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AFBB5" w14:textId="77777777" w:rsidR="007F2FBA" w:rsidRDefault="007F2FBA" w:rsidP="00AC5167"/>
    <w:p w14:paraId="60971F00" w14:textId="77777777" w:rsidR="00AC5167" w:rsidRDefault="00AC5167" w:rsidP="00AC5167"/>
    <w:p w14:paraId="208D3172" w14:textId="77777777" w:rsidR="00AC5167" w:rsidRDefault="00AC5167" w:rsidP="00AC5167"/>
    <w:p w14:paraId="63AEB236" w14:textId="77777777" w:rsidR="00AC5167" w:rsidRDefault="00AC5167" w:rsidP="00AC5167"/>
    <w:p w14:paraId="3FF7AC9D" w14:textId="77777777" w:rsidR="00AC5167" w:rsidRDefault="00AC5167" w:rsidP="00AC5167"/>
    <w:p w14:paraId="1BA5EB90" w14:textId="77777777" w:rsidR="007F2FBA" w:rsidRDefault="007F2FBA" w:rsidP="00AC5167"/>
    <w:p w14:paraId="474AB5B3" w14:textId="77777777" w:rsidR="007F2FBA" w:rsidRDefault="007F2FBA" w:rsidP="00AC5167"/>
    <w:p w14:paraId="18296B52" w14:textId="77777777" w:rsidR="007F2FBA" w:rsidRPr="00C10B8B" w:rsidRDefault="007F2FBA" w:rsidP="00AC5167">
      <w:pPr>
        <w:rPr>
          <w:rFonts w:cs="Arial"/>
          <w:spacing w:val="35"/>
          <w:sz w:val="52"/>
          <w:szCs w:val="52"/>
        </w:rPr>
      </w:pPr>
    </w:p>
    <w:p w14:paraId="0806F3B9" w14:textId="77777777" w:rsidR="00002510" w:rsidRPr="00C10B8B" w:rsidRDefault="00E96B0F" w:rsidP="00AC5167">
      <w:pPr>
        <w:pStyle w:val="Title"/>
        <w:rPr>
          <w:rFonts w:ascii="Arial" w:hAnsi="Arial" w:cs="Arial"/>
          <w:spacing w:val="35"/>
          <w:sz w:val="52"/>
          <w:szCs w:val="52"/>
        </w:rPr>
      </w:pPr>
      <w:r>
        <w:rPr>
          <w:rFonts w:ascii="Arial" w:hAnsi="Arial" w:cs="Arial"/>
          <w:spacing w:val="35"/>
          <w:sz w:val="52"/>
          <w:szCs w:val="52"/>
        </w:rPr>
        <w:t>Health Savings Account (HSA)</w:t>
      </w:r>
      <w:r w:rsidR="0077681D" w:rsidRPr="00C10B8B">
        <w:rPr>
          <w:rFonts w:ascii="Arial" w:hAnsi="Arial" w:cs="Arial"/>
          <w:spacing w:val="35"/>
          <w:sz w:val="52"/>
          <w:szCs w:val="52"/>
        </w:rPr>
        <w:t xml:space="preserve"> Guide</w:t>
      </w:r>
      <w:r w:rsidR="00002510" w:rsidRPr="00C10B8B">
        <w:rPr>
          <w:rFonts w:ascii="Arial" w:hAnsi="Arial" w:cs="Arial"/>
          <w:spacing w:val="35"/>
          <w:sz w:val="52"/>
          <w:szCs w:val="52"/>
        </w:rPr>
        <w:t xml:space="preserve"> </w:t>
      </w:r>
    </w:p>
    <w:p w14:paraId="0DC0A5E6" w14:textId="77777777" w:rsidR="00E237FB" w:rsidRDefault="00E237FB" w:rsidP="0079480B">
      <w:pPr>
        <w:pStyle w:val="Heading2"/>
        <w:jc w:val="center"/>
      </w:pPr>
    </w:p>
    <w:p w14:paraId="32A92A0B" w14:textId="77777777" w:rsidR="00830B1A" w:rsidRDefault="0077681D" w:rsidP="00E96B0F">
      <w:pPr>
        <w:jc w:val="center"/>
        <w:rPr>
          <w:b/>
          <w:sz w:val="28"/>
          <w:szCs w:val="28"/>
        </w:rPr>
      </w:pPr>
      <w:bookmarkStart w:id="0" w:name="_Toc413076340"/>
      <w:r w:rsidRPr="00896BCE">
        <w:rPr>
          <w:b/>
          <w:sz w:val="28"/>
          <w:szCs w:val="28"/>
        </w:rPr>
        <w:t xml:space="preserve">A </w:t>
      </w:r>
      <w:r w:rsidR="00D228C8">
        <w:rPr>
          <w:b/>
          <w:sz w:val="28"/>
          <w:szCs w:val="28"/>
        </w:rPr>
        <w:t xml:space="preserve">practical </w:t>
      </w:r>
      <w:r w:rsidRPr="00896BCE">
        <w:rPr>
          <w:b/>
          <w:sz w:val="28"/>
          <w:szCs w:val="28"/>
        </w:rPr>
        <w:t xml:space="preserve">guide to understanding </w:t>
      </w:r>
      <w:bookmarkEnd w:id="0"/>
      <w:r w:rsidR="00E96B0F">
        <w:rPr>
          <w:b/>
          <w:sz w:val="28"/>
          <w:szCs w:val="28"/>
        </w:rPr>
        <w:t>HSAs</w:t>
      </w:r>
    </w:p>
    <w:p w14:paraId="1EBEB866" w14:textId="77777777" w:rsidR="00830B1A" w:rsidRDefault="00830B1A" w:rsidP="00896BCE">
      <w:pPr>
        <w:jc w:val="center"/>
        <w:rPr>
          <w:b/>
          <w:sz w:val="28"/>
          <w:szCs w:val="28"/>
        </w:rPr>
      </w:pPr>
    </w:p>
    <w:p w14:paraId="15B4D0B6" w14:textId="77777777" w:rsidR="00830B1A" w:rsidRDefault="00830B1A" w:rsidP="00896BCE">
      <w:pPr>
        <w:jc w:val="center"/>
        <w:rPr>
          <w:b/>
          <w:sz w:val="28"/>
          <w:szCs w:val="28"/>
        </w:rPr>
      </w:pPr>
    </w:p>
    <w:p w14:paraId="54B79DAC" w14:textId="77777777" w:rsidR="00830B1A" w:rsidRDefault="00E96B0F" w:rsidP="00896BCE">
      <w:pPr>
        <w:jc w:val="center"/>
        <w:rPr>
          <w:sz w:val="24"/>
          <w:szCs w:val="24"/>
        </w:rPr>
      </w:pPr>
      <w:r>
        <w:rPr>
          <w:sz w:val="24"/>
          <w:szCs w:val="24"/>
        </w:rPr>
        <w:t xml:space="preserve">Version </w:t>
      </w:r>
      <w:r w:rsidR="004251FC">
        <w:rPr>
          <w:sz w:val="24"/>
          <w:szCs w:val="24"/>
        </w:rPr>
        <w:t>8</w:t>
      </w:r>
    </w:p>
    <w:p w14:paraId="2328BB3C" w14:textId="1156DEDB" w:rsidR="00830B1A" w:rsidRPr="00830B1A" w:rsidRDefault="00937714" w:rsidP="00896BCE">
      <w:pPr>
        <w:jc w:val="center"/>
        <w:rPr>
          <w:sz w:val="24"/>
          <w:szCs w:val="24"/>
        </w:rPr>
      </w:pPr>
      <w:r>
        <w:rPr>
          <w:sz w:val="24"/>
          <w:szCs w:val="24"/>
        </w:rPr>
        <w:t xml:space="preserve">September </w:t>
      </w:r>
      <w:r w:rsidR="0025112D">
        <w:rPr>
          <w:sz w:val="24"/>
          <w:szCs w:val="24"/>
        </w:rPr>
        <w:t>2022</w:t>
      </w:r>
    </w:p>
    <w:p w14:paraId="6CA3A7EA" w14:textId="77777777" w:rsidR="007F2FBA" w:rsidRDefault="007F2FBA" w:rsidP="00AC5167">
      <w:pPr>
        <w:pStyle w:val="CompanyName"/>
      </w:pPr>
    </w:p>
    <w:p w14:paraId="5D6DA1E9" w14:textId="77777777" w:rsidR="007F2FBA" w:rsidRDefault="007F2FBA" w:rsidP="00AC5167"/>
    <w:p w14:paraId="51E942AE" w14:textId="77777777" w:rsidR="007F2FBA" w:rsidRDefault="007F2FBA" w:rsidP="00AC5167"/>
    <w:p w14:paraId="7CB001A5" w14:textId="77777777" w:rsidR="007F2FBA" w:rsidRDefault="007F2FBA" w:rsidP="00AC5167"/>
    <w:p w14:paraId="073C217D" w14:textId="77777777" w:rsidR="007F2FBA" w:rsidRDefault="007F2FBA" w:rsidP="00AC5167"/>
    <w:p w14:paraId="28DD6658" w14:textId="77777777" w:rsidR="007F2FBA" w:rsidRDefault="007F2FBA" w:rsidP="00AC5167"/>
    <w:p w14:paraId="50ABFEB5" w14:textId="77777777" w:rsidR="007F2FBA" w:rsidRDefault="007F2FBA" w:rsidP="00AC5167"/>
    <w:p w14:paraId="71573D31" w14:textId="77777777" w:rsidR="007F2FBA" w:rsidRDefault="007F2FBA" w:rsidP="00AC5167"/>
    <w:p w14:paraId="3AD38008" w14:textId="77777777" w:rsidR="007F2FBA" w:rsidRPr="00D228C8" w:rsidRDefault="00E267DF" w:rsidP="00AC5167">
      <w:pPr>
        <w:rPr>
          <w:b/>
          <w:sz w:val="44"/>
          <w:szCs w:val="44"/>
        </w:rPr>
      </w:pPr>
      <w:r>
        <w:br w:type="page"/>
      </w:r>
      <w:r w:rsidR="007F2FBA" w:rsidRPr="00D228C8">
        <w:rPr>
          <w:b/>
          <w:sz w:val="44"/>
          <w:szCs w:val="44"/>
        </w:rPr>
        <w:lastRenderedPageBreak/>
        <w:t>Table of Contents</w:t>
      </w:r>
    </w:p>
    <w:p w14:paraId="5EE376DD" w14:textId="02640696" w:rsidR="00DE4D83" w:rsidRPr="008A10C6" w:rsidRDefault="001E695C">
      <w:pPr>
        <w:pStyle w:val="TOC1"/>
        <w:tabs>
          <w:tab w:val="right" w:leader="dot" w:pos="9350"/>
        </w:tabs>
        <w:rPr>
          <w:rFonts w:ascii="Calibri" w:hAnsi="Calibri" w:cs="Times New Roman"/>
          <w:b w:val="0"/>
          <w:bCs w:val="0"/>
          <w:caps w:val="0"/>
          <w:noProof/>
          <w:spacing w:val="0"/>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510627674" w:history="1">
        <w:r w:rsidR="00DE4D83" w:rsidRPr="008021EA">
          <w:rPr>
            <w:rStyle w:val="Hyperlink"/>
            <w:noProof/>
          </w:rPr>
          <w:t>OVERVIEW</w:t>
        </w:r>
        <w:r w:rsidR="00DE4D83">
          <w:rPr>
            <w:noProof/>
            <w:webHidden/>
          </w:rPr>
          <w:tab/>
        </w:r>
        <w:r w:rsidR="00DE4D83">
          <w:rPr>
            <w:noProof/>
            <w:webHidden/>
          </w:rPr>
          <w:fldChar w:fldCharType="begin"/>
        </w:r>
        <w:r w:rsidR="00DE4D83">
          <w:rPr>
            <w:noProof/>
            <w:webHidden/>
          </w:rPr>
          <w:instrText xml:space="preserve"> PAGEREF _Toc510627674 \h </w:instrText>
        </w:r>
        <w:r w:rsidR="00DE4D83">
          <w:rPr>
            <w:noProof/>
            <w:webHidden/>
          </w:rPr>
        </w:r>
        <w:r w:rsidR="00DE4D83">
          <w:rPr>
            <w:noProof/>
            <w:webHidden/>
          </w:rPr>
          <w:fldChar w:fldCharType="separate"/>
        </w:r>
        <w:r w:rsidR="00B64BED">
          <w:rPr>
            <w:noProof/>
            <w:webHidden/>
          </w:rPr>
          <w:t>3</w:t>
        </w:r>
        <w:r w:rsidR="00DE4D83">
          <w:rPr>
            <w:noProof/>
            <w:webHidden/>
          </w:rPr>
          <w:fldChar w:fldCharType="end"/>
        </w:r>
      </w:hyperlink>
    </w:p>
    <w:p w14:paraId="5753F2D2" w14:textId="63110598"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75" w:history="1">
        <w:r w:rsidR="00DE4D83" w:rsidRPr="008021EA">
          <w:rPr>
            <w:rStyle w:val="Hyperlink"/>
            <w:noProof/>
          </w:rPr>
          <w:t>HSA Eligibility</w:t>
        </w:r>
        <w:r w:rsidR="00DE4D83">
          <w:rPr>
            <w:noProof/>
            <w:webHidden/>
          </w:rPr>
          <w:tab/>
        </w:r>
        <w:r w:rsidR="00DE4D83">
          <w:rPr>
            <w:noProof/>
            <w:webHidden/>
          </w:rPr>
          <w:fldChar w:fldCharType="begin"/>
        </w:r>
        <w:r w:rsidR="00DE4D83">
          <w:rPr>
            <w:noProof/>
            <w:webHidden/>
          </w:rPr>
          <w:instrText xml:space="preserve"> PAGEREF _Toc510627675 \h </w:instrText>
        </w:r>
        <w:r w:rsidR="00DE4D83">
          <w:rPr>
            <w:noProof/>
            <w:webHidden/>
          </w:rPr>
        </w:r>
        <w:r w:rsidR="00DE4D83">
          <w:rPr>
            <w:noProof/>
            <w:webHidden/>
          </w:rPr>
          <w:fldChar w:fldCharType="separate"/>
        </w:r>
        <w:r w:rsidR="00B64BED">
          <w:rPr>
            <w:noProof/>
            <w:webHidden/>
          </w:rPr>
          <w:t>4</w:t>
        </w:r>
        <w:r w:rsidR="00DE4D83">
          <w:rPr>
            <w:noProof/>
            <w:webHidden/>
          </w:rPr>
          <w:fldChar w:fldCharType="end"/>
        </w:r>
      </w:hyperlink>
    </w:p>
    <w:p w14:paraId="4A9749C4" w14:textId="56A0C7DA"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76" w:history="1">
        <w:r w:rsidR="00DE4D83" w:rsidRPr="008021EA">
          <w:rPr>
            <w:rStyle w:val="Hyperlink"/>
            <w:noProof/>
          </w:rPr>
          <w:t>HSA Contributions</w:t>
        </w:r>
        <w:r w:rsidR="00DE4D83">
          <w:rPr>
            <w:noProof/>
            <w:webHidden/>
          </w:rPr>
          <w:tab/>
        </w:r>
        <w:r w:rsidR="00DE4D83">
          <w:rPr>
            <w:noProof/>
            <w:webHidden/>
          </w:rPr>
          <w:fldChar w:fldCharType="begin"/>
        </w:r>
        <w:r w:rsidR="00DE4D83">
          <w:rPr>
            <w:noProof/>
            <w:webHidden/>
          </w:rPr>
          <w:instrText xml:space="preserve"> PAGEREF _Toc510627676 \h </w:instrText>
        </w:r>
        <w:r w:rsidR="00DE4D83">
          <w:rPr>
            <w:noProof/>
            <w:webHidden/>
          </w:rPr>
        </w:r>
        <w:r w:rsidR="00DE4D83">
          <w:rPr>
            <w:noProof/>
            <w:webHidden/>
          </w:rPr>
          <w:fldChar w:fldCharType="separate"/>
        </w:r>
        <w:r w:rsidR="00B64BED">
          <w:rPr>
            <w:noProof/>
            <w:webHidden/>
          </w:rPr>
          <w:t>9</w:t>
        </w:r>
        <w:r w:rsidR="00DE4D83">
          <w:rPr>
            <w:noProof/>
            <w:webHidden/>
          </w:rPr>
          <w:fldChar w:fldCharType="end"/>
        </w:r>
      </w:hyperlink>
    </w:p>
    <w:p w14:paraId="28F5B820" w14:textId="6C62DC1A"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77" w:history="1">
        <w:r w:rsidR="00DE4D83" w:rsidRPr="008021EA">
          <w:rPr>
            <w:rStyle w:val="Hyperlink"/>
            <w:noProof/>
          </w:rPr>
          <w:t>HSA Distributions (Reimbursements)</w:t>
        </w:r>
        <w:r w:rsidR="00DE4D83">
          <w:rPr>
            <w:noProof/>
            <w:webHidden/>
          </w:rPr>
          <w:tab/>
        </w:r>
        <w:r w:rsidR="00DE4D83">
          <w:rPr>
            <w:noProof/>
            <w:webHidden/>
          </w:rPr>
          <w:fldChar w:fldCharType="begin"/>
        </w:r>
        <w:r w:rsidR="00DE4D83">
          <w:rPr>
            <w:noProof/>
            <w:webHidden/>
          </w:rPr>
          <w:instrText xml:space="preserve"> PAGEREF _Toc510627677 \h </w:instrText>
        </w:r>
        <w:r w:rsidR="00DE4D83">
          <w:rPr>
            <w:noProof/>
            <w:webHidden/>
          </w:rPr>
        </w:r>
        <w:r w:rsidR="00DE4D83">
          <w:rPr>
            <w:noProof/>
            <w:webHidden/>
          </w:rPr>
          <w:fldChar w:fldCharType="separate"/>
        </w:r>
        <w:r w:rsidR="00B64BED">
          <w:rPr>
            <w:noProof/>
            <w:webHidden/>
          </w:rPr>
          <w:t>14</w:t>
        </w:r>
        <w:r w:rsidR="00DE4D83">
          <w:rPr>
            <w:noProof/>
            <w:webHidden/>
          </w:rPr>
          <w:fldChar w:fldCharType="end"/>
        </w:r>
      </w:hyperlink>
    </w:p>
    <w:p w14:paraId="75A567E2" w14:textId="2C1261E6"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78" w:history="1">
        <w:r w:rsidR="00DE4D83" w:rsidRPr="008021EA">
          <w:rPr>
            <w:rStyle w:val="Hyperlink"/>
            <w:noProof/>
          </w:rPr>
          <w:t>Miscellaneous</w:t>
        </w:r>
        <w:r w:rsidR="00DE4D83">
          <w:rPr>
            <w:noProof/>
            <w:webHidden/>
          </w:rPr>
          <w:tab/>
        </w:r>
        <w:r w:rsidR="00DE4D83">
          <w:rPr>
            <w:noProof/>
            <w:webHidden/>
          </w:rPr>
          <w:fldChar w:fldCharType="begin"/>
        </w:r>
        <w:r w:rsidR="00DE4D83">
          <w:rPr>
            <w:noProof/>
            <w:webHidden/>
          </w:rPr>
          <w:instrText xml:space="preserve"> PAGEREF _Toc510627678 \h </w:instrText>
        </w:r>
        <w:r w:rsidR="00DE4D83">
          <w:rPr>
            <w:noProof/>
            <w:webHidden/>
          </w:rPr>
        </w:r>
        <w:r w:rsidR="00DE4D83">
          <w:rPr>
            <w:noProof/>
            <w:webHidden/>
          </w:rPr>
          <w:fldChar w:fldCharType="separate"/>
        </w:r>
        <w:r w:rsidR="00B64BED">
          <w:rPr>
            <w:noProof/>
            <w:webHidden/>
          </w:rPr>
          <w:t>17</w:t>
        </w:r>
        <w:r w:rsidR="00DE4D83">
          <w:rPr>
            <w:noProof/>
            <w:webHidden/>
          </w:rPr>
          <w:fldChar w:fldCharType="end"/>
        </w:r>
      </w:hyperlink>
    </w:p>
    <w:p w14:paraId="658F3525" w14:textId="09AE8947"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79" w:history="1">
        <w:r w:rsidR="00DE4D83" w:rsidRPr="008021EA">
          <w:rPr>
            <w:rStyle w:val="Hyperlink"/>
            <w:noProof/>
          </w:rPr>
          <w:t>Appendix A – HDHP Requirements and Contribution Limits</w:t>
        </w:r>
        <w:r w:rsidR="00DE4D83">
          <w:rPr>
            <w:noProof/>
            <w:webHidden/>
          </w:rPr>
          <w:tab/>
        </w:r>
        <w:r w:rsidR="00DE4D83">
          <w:rPr>
            <w:noProof/>
            <w:webHidden/>
          </w:rPr>
          <w:fldChar w:fldCharType="begin"/>
        </w:r>
        <w:r w:rsidR="00DE4D83">
          <w:rPr>
            <w:noProof/>
            <w:webHidden/>
          </w:rPr>
          <w:instrText xml:space="preserve"> PAGEREF _Toc510627679 \h </w:instrText>
        </w:r>
        <w:r w:rsidR="00DE4D83">
          <w:rPr>
            <w:noProof/>
            <w:webHidden/>
          </w:rPr>
        </w:r>
        <w:r w:rsidR="00DE4D83">
          <w:rPr>
            <w:noProof/>
            <w:webHidden/>
          </w:rPr>
          <w:fldChar w:fldCharType="separate"/>
        </w:r>
        <w:r w:rsidR="00B64BED">
          <w:rPr>
            <w:noProof/>
            <w:webHidden/>
          </w:rPr>
          <w:t>18</w:t>
        </w:r>
        <w:r w:rsidR="00DE4D83">
          <w:rPr>
            <w:noProof/>
            <w:webHidden/>
          </w:rPr>
          <w:fldChar w:fldCharType="end"/>
        </w:r>
      </w:hyperlink>
    </w:p>
    <w:p w14:paraId="41F6C9F2" w14:textId="13B90B1D"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80" w:history="1">
        <w:r w:rsidR="00DE4D83" w:rsidRPr="008021EA">
          <w:rPr>
            <w:rStyle w:val="Hyperlink"/>
            <w:noProof/>
          </w:rPr>
          <w:t>Appendix B – Contribution Limit Examples</w:t>
        </w:r>
        <w:r w:rsidR="00DE4D83">
          <w:rPr>
            <w:noProof/>
            <w:webHidden/>
          </w:rPr>
          <w:tab/>
        </w:r>
        <w:r w:rsidR="00DE4D83">
          <w:rPr>
            <w:noProof/>
            <w:webHidden/>
          </w:rPr>
          <w:fldChar w:fldCharType="begin"/>
        </w:r>
        <w:r w:rsidR="00DE4D83">
          <w:rPr>
            <w:noProof/>
            <w:webHidden/>
          </w:rPr>
          <w:instrText xml:space="preserve"> PAGEREF _Toc510627680 \h </w:instrText>
        </w:r>
        <w:r w:rsidR="00DE4D83">
          <w:rPr>
            <w:noProof/>
            <w:webHidden/>
          </w:rPr>
        </w:r>
        <w:r w:rsidR="00DE4D83">
          <w:rPr>
            <w:noProof/>
            <w:webHidden/>
          </w:rPr>
          <w:fldChar w:fldCharType="separate"/>
        </w:r>
        <w:r w:rsidR="00B64BED">
          <w:rPr>
            <w:noProof/>
            <w:webHidden/>
          </w:rPr>
          <w:t>19</w:t>
        </w:r>
        <w:r w:rsidR="00DE4D83">
          <w:rPr>
            <w:noProof/>
            <w:webHidden/>
          </w:rPr>
          <w:fldChar w:fldCharType="end"/>
        </w:r>
      </w:hyperlink>
    </w:p>
    <w:p w14:paraId="33AE2C45" w14:textId="49B97DDE"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81" w:history="1">
        <w:r w:rsidR="00DE4D83" w:rsidRPr="008021EA">
          <w:rPr>
            <w:rStyle w:val="Hyperlink"/>
            <w:noProof/>
          </w:rPr>
          <w:t>Appendix C – Special Rule for Married Individuals</w:t>
        </w:r>
        <w:r w:rsidR="00DE4D83">
          <w:rPr>
            <w:noProof/>
            <w:webHidden/>
          </w:rPr>
          <w:tab/>
        </w:r>
        <w:r w:rsidR="00DE4D83">
          <w:rPr>
            <w:noProof/>
            <w:webHidden/>
          </w:rPr>
          <w:fldChar w:fldCharType="begin"/>
        </w:r>
        <w:r w:rsidR="00DE4D83">
          <w:rPr>
            <w:noProof/>
            <w:webHidden/>
          </w:rPr>
          <w:instrText xml:space="preserve"> PAGEREF _Toc510627681 \h </w:instrText>
        </w:r>
        <w:r w:rsidR="00DE4D83">
          <w:rPr>
            <w:noProof/>
            <w:webHidden/>
          </w:rPr>
        </w:r>
        <w:r w:rsidR="00DE4D83">
          <w:rPr>
            <w:noProof/>
            <w:webHidden/>
          </w:rPr>
          <w:fldChar w:fldCharType="separate"/>
        </w:r>
        <w:r w:rsidR="00B64BED">
          <w:rPr>
            <w:noProof/>
            <w:webHidden/>
          </w:rPr>
          <w:t>20</w:t>
        </w:r>
        <w:r w:rsidR="00DE4D83">
          <w:rPr>
            <w:noProof/>
            <w:webHidden/>
          </w:rPr>
          <w:fldChar w:fldCharType="end"/>
        </w:r>
      </w:hyperlink>
    </w:p>
    <w:p w14:paraId="3BE5275C" w14:textId="6D349611"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82" w:history="1">
        <w:r w:rsidR="00DE4D83" w:rsidRPr="008021EA">
          <w:rPr>
            <w:rStyle w:val="Hyperlink"/>
            <w:noProof/>
          </w:rPr>
          <w:t>Appendix D: Comparison of HRAs, Health FSAs</w:t>
        </w:r>
        <w:r w:rsidR="004B5E12">
          <w:rPr>
            <w:rStyle w:val="Hyperlink"/>
            <w:noProof/>
          </w:rPr>
          <w:t>,</w:t>
        </w:r>
        <w:r w:rsidR="00DE4D83" w:rsidRPr="008021EA">
          <w:rPr>
            <w:rStyle w:val="Hyperlink"/>
            <w:noProof/>
          </w:rPr>
          <w:t xml:space="preserve"> and HSAs</w:t>
        </w:r>
        <w:r w:rsidR="00DE4D83">
          <w:rPr>
            <w:noProof/>
            <w:webHidden/>
          </w:rPr>
          <w:tab/>
        </w:r>
        <w:r w:rsidR="00DE4D83">
          <w:rPr>
            <w:noProof/>
            <w:webHidden/>
          </w:rPr>
          <w:fldChar w:fldCharType="begin"/>
        </w:r>
        <w:r w:rsidR="00DE4D83">
          <w:rPr>
            <w:noProof/>
            <w:webHidden/>
          </w:rPr>
          <w:instrText xml:space="preserve"> PAGEREF _Toc510627682 \h </w:instrText>
        </w:r>
        <w:r w:rsidR="00DE4D83">
          <w:rPr>
            <w:noProof/>
            <w:webHidden/>
          </w:rPr>
        </w:r>
        <w:r w:rsidR="00DE4D83">
          <w:rPr>
            <w:noProof/>
            <w:webHidden/>
          </w:rPr>
          <w:fldChar w:fldCharType="separate"/>
        </w:r>
        <w:r w:rsidR="00B64BED">
          <w:rPr>
            <w:noProof/>
            <w:webHidden/>
          </w:rPr>
          <w:t>21</w:t>
        </w:r>
        <w:r w:rsidR="00DE4D83">
          <w:rPr>
            <w:noProof/>
            <w:webHidden/>
          </w:rPr>
          <w:fldChar w:fldCharType="end"/>
        </w:r>
      </w:hyperlink>
    </w:p>
    <w:p w14:paraId="6123DB86" w14:textId="380FCE51" w:rsidR="00DE4D83" w:rsidRPr="008A10C6" w:rsidRDefault="00000000">
      <w:pPr>
        <w:pStyle w:val="TOC1"/>
        <w:tabs>
          <w:tab w:val="right" w:leader="dot" w:pos="9350"/>
        </w:tabs>
        <w:rPr>
          <w:rFonts w:ascii="Calibri" w:hAnsi="Calibri" w:cs="Times New Roman"/>
          <w:b w:val="0"/>
          <w:bCs w:val="0"/>
          <w:caps w:val="0"/>
          <w:noProof/>
          <w:spacing w:val="0"/>
          <w:sz w:val="22"/>
          <w:szCs w:val="22"/>
        </w:rPr>
      </w:pPr>
      <w:hyperlink w:anchor="_Toc510627683" w:history="1">
        <w:r w:rsidR="00DE4D83" w:rsidRPr="008021EA">
          <w:rPr>
            <w:rStyle w:val="Hyperlink"/>
            <w:noProof/>
          </w:rPr>
          <w:t>Appendix E – Additional Resources</w:t>
        </w:r>
        <w:r w:rsidR="00DE4D83">
          <w:rPr>
            <w:noProof/>
            <w:webHidden/>
          </w:rPr>
          <w:tab/>
        </w:r>
        <w:r w:rsidR="00DE4D83">
          <w:rPr>
            <w:noProof/>
            <w:webHidden/>
          </w:rPr>
          <w:fldChar w:fldCharType="begin"/>
        </w:r>
        <w:r w:rsidR="00DE4D83">
          <w:rPr>
            <w:noProof/>
            <w:webHidden/>
          </w:rPr>
          <w:instrText xml:space="preserve"> PAGEREF _Toc510627683 \h </w:instrText>
        </w:r>
        <w:r w:rsidR="00DE4D83">
          <w:rPr>
            <w:noProof/>
            <w:webHidden/>
          </w:rPr>
        </w:r>
        <w:r w:rsidR="00DE4D83">
          <w:rPr>
            <w:noProof/>
            <w:webHidden/>
          </w:rPr>
          <w:fldChar w:fldCharType="separate"/>
        </w:r>
        <w:r w:rsidR="00B64BED">
          <w:rPr>
            <w:noProof/>
            <w:webHidden/>
          </w:rPr>
          <w:t>22</w:t>
        </w:r>
        <w:r w:rsidR="00DE4D83">
          <w:rPr>
            <w:noProof/>
            <w:webHidden/>
          </w:rPr>
          <w:fldChar w:fldCharType="end"/>
        </w:r>
      </w:hyperlink>
    </w:p>
    <w:p w14:paraId="37A97B1F" w14:textId="77777777" w:rsidR="007F2FBA" w:rsidRDefault="001E695C" w:rsidP="00AC5167">
      <w:r>
        <w:rPr>
          <w:rFonts w:cs="Arial"/>
          <w:b/>
          <w:bCs/>
          <w:caps/>
          <w:sz w:val="24"/>
          <w:szCs w:val="24"/>
        </w:rPr>
        <w:fldChar w:fldCharType="end"/>
      </w:r>
    </w:p>
    <w:p w14:paraId="7BE52D20" w14:textId="77777777" w:rsidR="001E695C" w:rsidRDefault="001E695C" w:rsidP="00AC5167"/>
    <w:p w14:paraId="22010ECD" w14:textId="77777777" w:rsidR="001E695C" w:rsidRDefault="001E695C" w:rsidP="00AC5167"/>
    <w:p w14:paraId="1DA190C9" w14:textId="77777777" w:rsidR="001E695C" w:rsidRDefault="001E695C" w:rsidP="00AC5167"/>
    <w:p w14:paraId="5A3C3F57" w14:textId="77777777" w:rsidR="001E695C" w:rsidRDefault="001E695C" w:rsidP="00AC5167"/>
    <w:p w14:paraId="5456E204" w14:textId="77777777" w:rsidR="00AD03B6" w:rsidRDefault="00AD03B6" w:rsidP="00AC5167"/>
    <w:p w14:paraId="2429A57F" w14:textId="77777777" w:rsidR="00086793" w:rsidRDefault="00086793" w:rsidP="00AC5167"/>
    <w:p w14:paraId="6CBEBE25" w14:textId="77777777" w:rsidR="003A167C" w:rsidRDefault="003A167C" w:rsidP="00AC5167"/>
    <w:p w14:paraId="6C917671" w14:textId="77777777" w:rsidR="001E695C" w:rsidRDefault="001E695C" w:rsidP="00AC5167"/>
    <w:p w14:paraId="2379C790" w14:textId="77777777" w:rsidR="001E695C" w:rsidRDefault="001E695C" w:rsidP="00AC5167"/>
    <w:p w14:paraId="11E99231" w14:textId="77777777" w:rsidR="001E695C" w:rsidRPr="00C823BB" w:rsidRDefault="001E695C" w:rsidP="00AC5167">
      <w:pPr>
        <w:rPr>
          <w:rFonts w:ascii="Times New Roman" w:hAnsi="Times New Roman"/>
          <w:sz w:val="20"/>
        </w:rPr>
      </w:pPr>
    </w:p>
    <w:p w14:paraId="489A2217" w14:textId="77777777" w:rsidR="007F2FBA" w:rsidRPr="00C823BB" w:rsidRDefault="007F2FBA" w:rsidP="00AC5167">
      <w:pPr>
        <w:rPr>
          <w:rFonts w:ascii="Times New Roman" w:hAnsi="Times New Roman"/>
          <w:sz w:val="20"/>
        </w:rPr>
      </w:pPr>
      <w:r w:rsidRPr="00C823BB">
        <w:rPr>
          <w:rFonts w:ascii="Times New Roman" w:hAnsi="Times New Roman"/>
          <w:sz w:val="20"/>
        </w:rPr>
        <w:t>While every effort has been taken in compiling this information to ensure that its contents are totally accurate, neither the publisher nor the author can accept any liability whatsoever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and without exception seek professional advice before entering into any commitments.</w:t>
      </w:r>
    </w:p>
    <w:p w14:paraId="5C1AA059" w14:textId="77777777" w:rsidR="009975CF" w:rsidRDefault="009975CF" w:rsidP="00AC5167">
      <w:pPr>
        <w:pStyle w:val="ReturnAddress"/>
      </w:pPr>
    </w:p>
    <w:p w14:paraId="048667ED" w14:textId="77777777" w:rsidR="007F2FBA" w:rsidRDefault="007F2FBA" w:rsidP="00AC5167">
      <w:pPr>
        <w:pStyle w:val="ReturnAddress"/>
      </w:pPr>
      <w:r>
        <w:sym w:font="Symbol" w:char="00E3"/>
      </w:r>
      <w:r>
        <w:t xml:space="preserve"> </w:t>
      </w:r>
      <w:r w:rsidR="00B53FF7">
        <w:t>202</w:t>
      </w:r>
      <w:r w:rsidR="0025112D">
        <w:t>2</w:t>
      </w:r>
      <w:r w:rsidR="00E267DF">
        <w:t xml:space="preserve"> Benefit Comply</w:t>
      </w:r>
      <w:r w:rsidR="009975CF">
        <w:t>, LLC</w:t>
      </w:r>
    </w:p>
    <w:p w14:paraId="334DB0A9" w14:textId="77777777" w:rsidR="007F2FBA" w:rsidRDefault="007F2FBA" w:rsidP="00AC5167">
      <w:pPr>
        <w:sectPr w:rsidR="007F2FBA" w:rsidSect="00E237FB">
          <w:headerReference w:type="even" r:id="rId9"/>
          <w:footerReference w:type="even" r:id="rId10"/>
          <w:pgSz w:w="12240" w:h="15840"/>
          <w:pgMar w:top="1440" w:right="1440" w:bottom="1440" w:left="1440" w:header="960" w:footer="960" w:gutter="0"/>
          <w:pgNumType w:start="1"/>
          <w:cols w:space="720"/>
          <w:titlePg/>
          <w:docGrid w:linePitch="272"/>
        </w:sectPr>
      </w:pPr>
    </w:p>
    <w:p w14:paraId="467F1AC3" w14:textId="77777777" w:rsidR="00ED5DA4" w:rsidRDefault="00ED5DA4" w:rsidP="00AC5167">
      <w:pPr>
        <w:pStyle w:val="Heading1"/>
      </w:pPr>
      <w:bookmarkStart w:id="1" w:name="_Toc510627674"/>
      <w:r>
        <w:lastRenderedPageBreak/>
        <w:t>OVERVIEW</w:t>
      </w:r>
      <w:bookmarkEnd w:id="1"/>
    </w:p>
    <w:p w14:paraId="15327CBD" w14:textId="77777777" w:rsidR="00ED5DA4" w:rsidRDefault="00ED5DA4" w:rsidP="00ED5DA4">
      <w:pPr>
        <w:pStyle w:val="BodyText"/>
      </w:pPr>
    </w:p>
    <w:p w14:paraId="4CE82697" w14:textId="77777777" w:rsidR="00715485" w:rsidRDefault="00E8207A" w:rsidP="00715485">
      <w:pPr>
        <w:pStyle w:val="BodyText"/>
      </w:pPr>
      <w:r>
        <w:t>With the number of individuals enrolled in</w:t>
      </w:r>
      <w:r w:rsidR="00ED5DA4">
        <w:t xml:space="preserve"> high deductible health plans (HDHPs)</w:t>
      </w:r>
      <w:r w:rsidR="00D30EDF">
        <w:t xml:space="preserve"> growing</w:t>
      </w:r>
      <w:r>
        <w:t xml:space="preserve">, and health care costs continuing to rise, health savings accounts (HSAs) provide an option for </w:t>
      </w:r>
      <w:r w:rsidR="004D06A6">
        <w:t>reimbursement of</w:t>
      </w:r>
      <w:r>
        <w:t xml:space="preserve"> medical expenses </w:t>
      </w:r>
      <w:r w:rsidR="004D06A6">
        <w:t xml:space="preserve">on a tax-favored basis without some of the restrictions and risk that accompany a health reimbursement </w:t>
      </w:r>
      <w:r w:rsidR="009131B7">
        <w:t xml:space="preserve">arrangement </w:t>
      </w:r>
      <w:r w:rsidR="004D06A6">
        <w:t xml:space="preserve">(HRA) or health flexible spending </w:t>
      </w:r>
      <w:r w:rsidR="009131B7">
        <w:t xml:space="preserve">arrangement </w:t>
      </w:r>
      <w:r w:rsidR="004D06A6">
        <w:t xml:space="preserve">(FSA). </w:t>
      </w:r>
      <w:r w:rsidR="00715485">
        <w:t xml:space="preserve">An important difference is that </w:t>
      </w:r>
      <w:r w:rsidR="00715485" w:rsidRPr="00715485">
        <w:t>HSAs are individually</w:t>
      </w:r>
      <w:r w:rsidR="00F03FDF">
        <w:t xml:space="preserve"> </w:t>
      </w:r>
      <w:r w:rsidR="00715485" w:rsidRPr="00715485">
        <w:t xml:space="preserve">owned accounts that will stay with the account holder and are not tied to employment or </w:t>
      </w:r>
      <w:r w:rsidR="00F03FDF">
        <w:t xml:space="preserve">to </w:t>
      </w:r>
      <w:r w:rsidR="00715485" w:rsidRPr="00715485">
        <w:t>a particular employer.</w:t>
      </w:r>
    </w:p>
    <w:p w14:paraId="011D5716" w14:textId="77777777" w:rsidR="00ED5DA4" w:rsidRDefault="00715485" w:rsidP="00ED5DA4">
      <w:pPr>
        <w:pStyle w:val="BodyText"/>
      </w:pPr>
      <w:r>
        <w:t>T</w:t>
      </w:r>
      <w:r w:rsidR="004D06A6">
        <w:t xml:space="preserve">here are specific rules </w:t>
      </w:r>
      <w:r w:rsidR="00F03FDF">
        <w:t>about</w:t>
      </w:r>
      <w:r w:rsidR="004D06A6">
        <w:t xml:space="preserve"> who is eligible to contribute to an HSA</w:t>
      </w:r>
      <w:r w:rsidR="00B32EBB">
        <w:t>;</w:t>
      </w:r>
      <w:r w:rsidR="004D06A6">
        <w:t xml:space="preserve"> how much may be contributed to an HSA</w:t>
      </w:r>
      <w:r w:rsidR="00B32EBB">
        <w:t>;</w:t>
      </w:r>
      <w:r w:rsidR="004D06A6">
        <w:t xml:space="preserve"> and which medical expenses are reimbursable by the HSA</w:t>
      </w:r>
      <w:r w:rsidR="00B32EBB">
        <w:t>,</w:t>
      </w:r>
      <w:r w:rsidR="004D06A6">
        <w:t xml:space="preserve"> and a failure comply with such requirements could result in the loss of the tax-favored </w:t>
      </w:r>
      <w:r w:rsidR="0062410C">
        <w:t>treatment</w:t>
      </w:r>
      <w:r w:rsidR="004D06A6">
        <w:t xml:space="preserve"> </w:t>
      </w:r>
      <w:r w:rsidR="00F03FDF">
        <w:t>and potentially in</w:t>
      </w:r>
      <w:r w:rsidR="004D06A6">
        <w:t xml:space="preserve"> excise taxes.</w:t>
      </w:r>
    </w:p>
    <w:p w14:paraId="5DA28D81" w14:textId="77777777" w:rsidR="00521970" w:rsidRPr="00521970" w:rsidRDefault="00F03FDF" w:rsidP="00521970">
      <w:pPr>
        <w:pStyle w:val="BodyText"/>
      </w:pPr>
      <w:r>
        <w:t>Although</w:t>
      </w:r>
      <w:r w:rsidR="004D06A6">
        <w:t xml:space="preserve"> in most cases there is no specific penalty for an employer who chooses to facilitate </w:t>
      </w:r>
      <w:r w:rsidR="00B36476">
        <w:t xml:space="preserve">or make </w:t>
      </w:r>
      <w:r w:rsidR="004D06A6">
        <w:t>HSA contributions if the HSA rules are not followed by individuals (</w:t>
      </w:r>
      <w:r w:rsidR="00715485">
        <w:t xml:space="preserve">rather, </w:t>
      </w:r>
      <w:r w:rsidR="004D06A6">
        <w:t xml:space="preserve">the individual would be responsible for any owed taxes), the reality is that employees look to their employers to help them navigate such requirements. Therefore, it is important that employers help educate employees </w:t>
      </w:r>
      <w:r>
        <w:t>about</w:t>
      </w:r>
      <w:r w:rsidR="004D06A6">
        <w:t xml:space="preserve"> HSA requirements</w:t>
      </w:r>
      <w:r w:rsidR="00AD03B6">
        <w:t xml:space="preserve"> if the employer is choosing to offer </w:t>
      </w:r>
      <w:r w:rsidR="00B32EBB">
        <w:t xml:space="preserve">qualifying </w:t>
      </w:r>
      <w:r w:rsidR="00AD03B6">
        <w:t xml:space="preserve">HDHP coverage or </w:t>
      </w:r>
      <w:r>
        <w:t xml:space="preserve">to </w:t>
      </w:r>
      <w:r w:rsidR="00AD03B6">
        <w:t>facilitate HSA contributions</w:t>
      </w:r>
      <w:r w:rsidR="00521970" w:rsidRPr="00521970">
        <w:t xml:space="preserve">, perhaps even asking employees to certify that they meet the criteria to be an eligible individual for HSA purposes. In addition, employers should be careful when </w:t>
      </w:r>
      <w:r>
        <w:t>evaluating</w:t>
      </w:r>
      <w:r w:rsidR="00521970" w:rsidRPr="00521970">
        <w:t xml:space="preserve"> various plan offerings and how they may </w:t>
      </w:r>
      <w:r>
        <w:t>affect</w:t>
      </w:r>
      <w:r w:rsidR="00521970" w:rsidRPr="00521970">
        <w:t xml:space="preserve"> HSA-eligibility. </w:t>
      </w:r>
    </w:p>
    <w:p w14:paraId="401B75A4" w14:textId="77777777" w:rsidR="004D06A6" w:rsidRDefault="004D06A6" w:rsidP="00ED5DA4">
      <w:pPr>
        <w:pStyle w:val="BodyText"/>
      </w:pPr>
    </w:p>
    <w:p w14:paraId="787CE978" w14:textId="77777777" w:rsidR="002E7034" w:rsidRPr="002E7034" w:rsidRDefault="002E7034" w:rsidP="002E7034"/>
    <w:p w14:paraId="6B159913" w14:textId="77777777" w:rsidR="002E7034" w:rsidRPr="002E7034" w:rsidRDefault="002E7034" w:rsidP="002E7034"/>
    <w:p w14:paraId="369E711A" w14:textId="77777777" w:rsidR="002E7034" w:rsidRPr="002E7034" w:rsidRDefault="002E7034" w:rsidP="002E7034"/>
    <w:p w14:paraId="7765CE61" w14:textId="77777777" w:rsidR="002E7034" w:rsidRPr="002E7034" w:rsidRDefault="002E7034" w:rsidP="002E7034"/>
    <w:p w14:paraId="17AB5A93" w14:textId="77777777" w:rsidR="002E7034" w:rsidRPr="002E7034" w:rsidRDefault="002E7034" w:rsidP="002E7034"/>
    <w:p w14:paraId="23BE6C48" w14:textId="77777777" w:rsidR="007F2FBA" w:rsidRDefault="00F937A2" w:rsidP="00AC5167">
      <w:pPr>
        <w:pStyle w:val="Heading1"/>
      </w:pPr>
      <w:bookmarkStart w:id="2" w:name="_Toc510627675"/>
      <w:r>
        <w:lastRenderedPageBreak/>
        <w:t>HSA Eligibility</w:t>
      </w:r>
      <w:bookmarkEnd w:id="2"/>
    </w:p>
    <w:p w14:paraId="5B4CC672" w14:textId="77777777" w:rsidR="00F937A2" w:rsidRDefault="00F937A2" w:rsidP="00F937A2"/>
    <w:p w14:paraId="2B65D769" w14:textId="77777777" w:rsidR="00F937A2" w:rsidRDefault="00F937A2" w:rsidP="00F937A2">
      <w:r w:rsidRPr="00194647">
        <w:t>Only eligible individuals can make contributions to their HSA account</w:t>
      </w:r>
      <w:bookmarkStart w:id="3" w:name="_Hlk482188337"/>
      <w:r>
        <w:t>. To be eligible to contribute to an HSA, an individual:</w:t>
      </w:r>
    </w:p>
    <w:p w14:paraId="7D05A25E" w14:textId="77777777" w:rsidR="00F937A2" w:rsidRDefault="00F937A2" w:rsidP="00715485">
      <w:pPr>
        <w:numPr>
          <w:ilvl w:val="0"/>
          <w:numId w:val="4"/>
        </w:numPr>
        <w:spacing w:after="0"/>
      </w:pPr>
      <w:r>
        <w:t>Must be enrolled in a qualifying high</w:t>
      </w:r>
      <w:r w:rsidR="00F03FDF">
        <w:t>-</w:t>
      </w:r>
      <w:r>
        <w:t>deductible health plan (HDHP);</w:t>
      </w:r>
    </w:p>
    <w:p w14:paraId="5C32FE70" w14:textId="77777777" w:rsidR="00F937A2" w:rsidRDefault="00F937A2" w:rsidP="00715485">
      <w:pPr>
        <w:numPr>
          <w:ilvl w:val="0"/>
          <w:numId w:val="4"/>
        </w:numPr>
        <w:spacing w:after="0"/>
      </w:pPr>
      <w:r>
        <w:t xml:space="preserve">May not have any other “disqualifying coverage”; and </w:t>
      </w:r>
    </w:p>
    <w:p w14:paraId="2B57E621" w14:textId="77777777" w:rsidR="00F937A2" w:rsidRDefault="00F937A2" w:rsidP="00715485">
      <w:pPr>
        <w:numPr>
          <w:ilvl w:val="0"/>
          <w:numId w:val="4"/>
        </w:numPr>
        <w:spacing w:after="0"/>
      </w:pPr>
      <w:r>
        <w:t>Cannot be claimed as a tax dependent by another individual.</w:t>
      </w:r>
      <w:bookmarkStart w:id="4" w:name="_Hlk482188365"/>
      <w:bookmarkEnd w:id="3"/>
    </w:p>
    <w:p w14:paraId="662458DA" w14:textId="77777777" w:rsidR="00715485" w:rsidRDefault="00715485" w:rsidP="00F937A2"/>
    <w:p w14:paraId="1B718D5F" w14:textId="77777777" w:rsidR="00F937A2" w:rsidRDefault="00F937A2" w:rsidP="00F937A2">
      <w:r>
        <w:t xml:space="preserve">Eligibility for an HDHP is different </w:t>
      </w:r>
      <w:r w:rsidR="00F03FDF">
        <w:t>from</w:t>
      </w:r>
      <w:r>
        <w:t xml:space="preserve"> eligibility to contribute to an HSA. Eligibility for the HDHP will depend upon the plan eligibility rules set by the employer and/or insurance carrier (e.g.</w:t>
      </w:r>
      <w:r w:rsidR="00F03FDF">
        <w:t>,</w:t>
      </w:r>
      <w:r>
        <w:t xml:space="preserve"> averaging 30 or more hours of service per week), </w:t>
      </w:r>
      <w:r w:rsidR="00F03FDF">
        <w:t>whereas</w:t>
      </w:r>
      <w:r>
        <w:t xml:space="preserve"> eligibility to contribute to an HSA is determined </w:t>
      </w:r>
      <w:r w:rsidR="00F03FDF">
        <w:t>by</w:t>
      </w:r>
      <w:r>
        <w:t xml:space="preserve"> federal laws and regulations. Therefore, while an individual must be enrolled in a qualifying HDHP to be eligible to contribute to an HSA, an individual who is ineligible to contribute to an HSA could still enroll </w:t>
      </w:r>
      <w:r w:rsidR="00715485">
        <w:t>in</w:t>
      </w:r>
      <w:r>
        <w:t xml:space="preserve"> HDHP </w:t>
      </w:r>
      <w:r w:rsidR="00715485">
        <w:t xml:space="preserve">coverage </w:t>
      </w:r>
      <w:r>
        <w:t>so long as the plan eligibility requirements are met.</w:t>
      </w:r>
      <w:r>
        <w:rPr>
          <w:color w:val="FF0000"/>
        </w:rPr>
        <w:t> </w:t>
      </w:r>
      <w:bookmarkEnd w:id="4"/>
    </w:p>
    <w:p w14:paraId="6E4937BF" w14:textId="77777777" w:rsidR="00AC5167" w:rsidRPr="00AC5167" w:rsidRDefault="00F937A2" w:rsidP="00B5397A">
      <w:pPr>
        <w:pStyle w:val="Heading2"/>
      </w:pPr>
      <w:r>
        <w:t>Qualifying High Deductible Health Plan (HDHP)</w:t>
      </w:r>
    </w:p>
    <w:p w14:paraId="09EC8A1C" w14:textId="77777777" w:rsidR="00F937A2" w:rsidRDefault="00F937A2" w:rsidP="00F937A2">
      <w:pPr>
        <w:spacing w:after="0"/>
      </w:pPr>
      <w:r>
        <w:t xml:space="preserve">A qualifying HDHP must meet minimum deductible and </w:t>
      </w:r>
      <w:r w:rsidR="008A04C7">
        <w:t xml:space="preserve">maximum </w:t>
      </w:r>
      <w:r>
        <w:t>out-of-pocket (OOP) requirements.</w:t>
      </w:r>
    </w:p>
    <w:p w14:paraId="527B010E" w14:textId="77777777" w:rsidR="00F937A2" w:rsidRDefault="00F937A2" w:rsidP="00F937A2">
      <w:pPr>
        <w:spacing w:after="0"/>
      </w:pPr>
    </w:p>
    <w:p w14:paraId="53E4485B" w14:textId="77777777" w:rsidR="00F937A2" w:rsidRPr="00715485" w:rsidRDefault="001F198B" w:rsidP="00676C04">
      <w:pPr>
        <w:numPr>
          <w:ilvl w:val="0"/>
          <w:numId w:val="5"/>
        </w:numPr>
        <w:spacing w:after="0"/>
        <w:rPr>
          <w:i/>
        </w:rPr>
      </w:pPr>
      <w:r w:rsidRPr="00715485">
        <w:rPr>
          <w:i/>
        </w:rPr>
        <w:t>20</w:t>
      </w:r>
      <w:r w:rsidR="002E7034">
        <w:rPr>
          <w:i/>
        </w:rPr>
        <w:t>2</w:t>
      </w:r>
      <w:r w:rsidR="00805B97">
        <w:rPr>
          <w:i/>
        </w:rPr>
        <w:t>3</w:t>
      </w:r>
      <w:r w:rsidRPr="00715485">
        <w:rPr>
          <w:i/>
        </w:rPr>
        <w:t xml:space="preserve"> </w:t>
      </w:r>
      <w:r w:rsidR="00F937A2" w:rsidRPr="00715485">
        <w:rPr>
          <w:i/>
        </w:rPr>
        <w:t xml:space="preserve">Minimum deductible </w:t>
      </w:r>
    </w:p>
    <w:p w14:paraId="77B8B5D4" w14:textId="77777777" w:rsidR="00F937A2" w:rsidRPr="00194647" w:rsidRDefault="001F198B" w:rsidP="00676C04">
      <w:pPr>
        <w:numPr>
          <w:ilvl w:val="1"/>
          <w:numId w:val="5"/>
        </w:numPr>
        <w:spacing w:after="0"/>
      </w:pPr>
      <w:r>
        <w:t>Single</w:t>
      </w:r>
      <w:r w:rsidR="007A369D">
        <w:t xml:space="preserve"> (individual)</w:t>
      </w:r>
      <w:r w:rsidR="00F937A2">
        <w:t xml:space="preserve"> </w:t>
      </w:r>
      <w:r>
        <w:t>–</w:t>
      </w:r>
      <w:r w:rsidR="00F937A2">
        <w:t xml:space="preserve"> $1,</w:t>
      </w:r>
      <w:r w:rsidR="00805B97">
        <w:t>5</w:t>
      </w:r>
      <w:r w:rsidR="002E7034">
        <w:t>0</w:t>
      </w:r>
      <w:r w:rsidR="00F937A2">
        <w:t>0</w:t>
      </w:r>
      <w:r w:rsidR="00F03FDF">
        <w:t>;</w:t>
      </w:r>
      <w:r w:rsidR="00F937A2">
        <w:t xml:space="preserve"> </w:t>
      </w:r>
      <w:r>
        <w:t>Other than single</w:t>
      </w:r>
      <w:r w:rsidR="007A369D">
        <w:t xml:space="preserve"> (family)</w:t>
      </w:r>
      <w:r w:rsidR="00F937A2">
        <w:t xml:space="preserve"> – $</w:t>
      </w:r>
      <w:r w:rsidR="00805B97">
        <w:t>3</w:t>
      </w:r>
      <w:r w:rsidR="00F937A2">
        <w:t>,</w:t>
      </w:r>
      <w:r w:rsidR="00805B97">
        <w:t>0</w:t>
      </w:r>
      <w:r w:rsidR="00F937A2">
        <w:t>00</w:t>
      </w:r>
    </w:p>
    <w:p w14:paraId="04248001" w14:textId="77777777" w:rsidR="00F937A2" w:rsidRDefault="00F937A2" w:rsidP="00676C04">
      <w:pPr>
        <w:numPr>
          <w:ilvl w:val="1"/>
          <w:numId w:val="5"/>
        </w:numPr>
        <w:spacing w:after="0"/>
      </w:pPr>
      <w:r w:rsidRPr="00194647">
        <w:t>Embedded individual deductible</w:t>
      </w:r>
      <w:r w:rsidR="00925B97">
        <w:t xml:space="preserve"> in family coverage</w:t>
      </w:r>
      <w:r w:rsidR="001F198B">
        <w:t>, if any,</w:t>
      </w:r>
      <w:r w:rsidRPr="00194647">
        <w:t xml:space="preserve"> cannot be less than </w:t>
      </w:r>
      <w:r>
        <w:t>$</w:t>
      </w:r>
      <w:r w:rsidR="00805B97">
        <w:t>3,0</w:t>
      </w:r>
      <w:r>
        <w:t>00</w:t>
      </w:r>
    </w:p>
    <w:p w14:paraId="074F4EC1" w14:textId="77777777" w:rsidR="001F198B" w:rsidRDefault="001F198B" w:rsidP="001F198B">
      <w:pPr>
        <w:spacing w:after="0"/>
        <w:ind w:left="1440"/>
      </w:pPr>
    </w:p>
    <w:p w14:paraId="088CF1EC" w14:textId="77777777" w:rsidR="00F937A2" w:rsidRPr="00715485" w:rsidRDefault="001F198B" w:rsidP="00676C04">
      <w:pPr>
        <w:numPr>
          <w:ilvl w:val="0"/>
          <w:numId w:val="5"/>
        </w:numPr>
        <w:spacing w:after="0"/>
        <w:rPr>
          <w:i/>
        </w:rPr>
      </w:pPr>
      <w:r w:rsidRPr="00715485">
        <w:rPr>
          <w:i/>
        </w:rPr>
        <w:t>20</w:t>
      </w:r>
      <w:r w:rsidR="002E7034">
        <w:rPr>
          <w:i/>
        </w:rPr>
        <w:t>2</w:t>
      </w:r>
      <w:r w:rsidR="00881C29">
        <w:rPr>
          <w:i/>
        </w:rPr>
        <w:t>3</w:t>
      </w:r>
      <w:r w:rsidRPr="00715485">
        <w:rPr>
          <w:i/>
        </w:rPr>
        <w:t xml:space="preserve"> </w:t>
      </w:r>
      <w:r w:rsidR="008A04C7">
        <w:rPr>
          <w:i/>
        </w:rPr>
        <w:t>Maximum</w:t>
      </w:r>
      <w:r w:rsidR="00F937A2" w:rsidRPr="00715485">
        <w:rPr>
          <w:i/>
        </w:rPr>
        <w:t xml:space="preserve"> out-of-pocket  </w:t>
      </w:r>
    </w:p>
    <w:p w14:paraId="222999DE" w14:textId="77777777" w:rsidR="00F937A2" w:rsidRPr="00194647" w:rsidRDefault="001F198B" w:rsidP="00676C04">
      <w:pPr>
        <w:numPr>
          <w:ilvl w:val="1"/>
          <w:numId w:val="5"/>
        </w:numPr>
        <w:spacing w:after="0"/>
      </w:pPr>
      <w:r>
        <w:t>Single</w:t>
      </w:r>
      <w:r w:rsidR="007A369D">
        <w:t xml:space="preserve"> (individual)</w:t>
      </w:r>
      <w:r>
        <w:t xml:space="preserve"> –</w:t>
      </w:r>
      <w:r w:rsidR="00F937A2">
        <w:t xml:space="preserve"> $</w:t>
      </w:r>
      <w:r w:rsidR="00B36476">
        <w:t>7,</w:t>
      </w:r>
      <w:r w:rsidR="00805B97">
        <w:t>50</w:t>
      </w:r>
      <w:r w:rsidR="00B36476">
        <w:t>0</w:t>
      </w:r>
      <w:r w:rsidR="00F03FDF">
        <w:t>;</w:t>
      </w:r>
      <w:r w:rsidR="00F937A2">
        <w:t xml:space="preserve"> </w:t>
      </w:r>
      <w:r>
        <w:t>Other than single</w:t>
      </w:r>
      <w:r w:rsidR="007A369D">
        <w:t xml:space="preserve"> (family)</w:t>
      </w:r>
      <w:r w:rsidR="00F937A2">
        <w:t xml:space="preserve"> </w:t>
      </w:r>
      <w:r>
        <w:t>–</w:t>
      </w:r>
      <w:r w:rsidR="00F937A2">
        <w:t xml:space="preserve"> $</w:t>
      </w:r>
      <w:r w:rsidR="00B36476">
        <w:t>1</w:t>
      </w:r>
      <w:r w:rsidR="00805B97">
        <w:t>5</w:t>
      </w:r>
      <w:r w:rsidR="00B36476">
        <w:t>,</w:t>
      </w:r>
      <w:r w:rsidR="00805B97">
        <w:t>0</w:t>
      </w:r>
      <w:r w:rsidR="00B36476">
        <w:t>00</w:t>
      </w:r>
    </w:p>
    <w:p w14:paraId="310096CB" w14:textId="77777777" w:rsidR="00F937A2" w:rsidRDefault="00F937A2" w:rsidP="00676C04">
      <w:pPr>
        <w:numPr>
          <w:ilvl w:val="1"/>
          <w:numId w:val="5"/>
        </w:numPr>
        <w:spacing w:after="0"/>
      </w:pPr>
      <w:r w:rsidRPr="00194647">
        <w:t>Must have an embedded individual OOP maximum of $</w:t>
      </w:r>
      <w:r w:rsidR="00805B97">
        <w:t>9</w:t>
      </w:r>
      <w:r w:rsidR="002E7034">
        <w:t>,</w:t>
      </w:r>
      <w:r w:rsidR="00805B97">
        <w:t>1</w:t>
      </w:r>
      <w:r w:rsidR="00C32A0E">
        <w:t>0</w:t>
      </w:r>
      <w:r w:rsidRPr="00194647">
        <w:t>0</w:t>
      </w:r>
      <w:r>
        <w:t xml:space="preserve"> </w:t>
      </w:r>
      <w:r w:rsidRPr="00194647">
        <w:t xml:space="preserve">or less </w:t>
      </w:r>
      <w:r w:rsidR="00925B97">
        <w:t>in any family coverage</w:t>
      </w:r>
    </w:p>
    <w:p w14:paraId="7EA5A59C" w14:textId="77777777" w:rsidR="00AC5167" w:rsidRDefault="00AC5167" w:rsidP="00AC5167"/>
    <w:p w14:paraId="33CF56E5" w14:textId="77777777" w:rsidR="007B0205" w:rsidRDefault="007B0205" w:rsidP="00AC5167">
      <w:r>
        <w:t>See chart of requirements for 2014–20</w:t>
      </w:r>
      <w:r w:rsidR="00904968">
        <w:t>2</w:t>
      </w:r>
      <w:r w:rsidR="00881C29">
        <w:t>3</w:t>
      </w:r>
      <w:r>
        <w:t xml:space="preserve"> in </w:t>
      </w:r>
      <w:hyperlink w:anchor="AppendixA" w:history="1">
        <w:r w:rsidRPr="00E64719">
          <w:rPr>
            <w:rStyle w:val="Hyperlink"/>
          </w:rPr>
          <w:t>Appendix A</w:t>
        </w:r>
      </w:hyperlink>
      <w:r>
        <w:t xml:space="preserve">. </w:t>
      </w:r>
    </w:p>
    <w:p w14:paraId="34456788" w14:textId="77777777" w:rsidR="005E3DE4" w:rsidRPr="005E3DE4" w:rsidRDefault="001F198B" w:rsidP="00B5397A">
      <w:pPr>
        <w:pStyle w:val="Heading3"/>
      </w:pPr>
      <w:r>
        <w:t>Embedded Individual Deductible</w:t>
      </w:r>
    </w:p>
    <w:p w14:paraId="65A1AC2A" w14:textId="77777777" w:rsidR="001F198B" w:rsidRPr="00A74A3D" w:rsidRDefault="001F198B" w:rsidP="00531286">
      <w:r w:rsidRPr="00A74A3D">
        <w:t>If the</w:t>
      </w:r>
      <w:r w:rsidR="00925B97">
        <w:t xml:space="preserve"> family</w:t>
      </w:r>
      <w:r w:rsidRPr="00A74A3D">
        <w:t xml:space="preserve"> HDHP plan design includes an embedded individual deductible, the embedded individual deductible must be at least the amount of the required minimum </w:t>
      </w:r>
      <w:r w:rsidR="007A369D">
        <w:t>family</w:t>
      </w:r>
      <w:r w:rsidRPr="00A74A3D">
        <w:t xml:space="preserve"> deductible ($</w:t>
      </w:r>
      <w:r w:rsidR="00881C29">
        <w:t>3</w:t>
      </w:r>
      <w:r w:rsidRPr="00A74A3D">
        <w:t>,</w:t>
      </w:r>
      <w:r w:rsidR="00881C29">
        <w:t>0</w:t>
      </w:r>
      <w:r w:rsidRPr="00A74A3D">
        <w:t>00 in 20</w:t>
      </w:r>
      <w:r w:rsidR="002E7034">
        <w:t>2</w:t>
      </w:r>
      <w:r w:rsidR="00881C29">
        <w:t>3</w:t>
      </w:r>
      <w:r w:rsidRPr="00A74A3D">
        <w:t xml:space="preserve">) in order to ensure that the HDHP does not begin paying before the minimum family deductible has been satisfied. </w:t>
      </w:r>
      <w:r w:rsidR="00A74A3D" w:rsidRPr="00A74A3D">
        <w:t xml:space="preserve">See guidance from </w:t>
      </w:r>
      <w:r w:rsidR="007B0205">
        <w:t xml:space="preserve">IRS </w:t>
      </w:r>
      <w:r w:rsidR="00A74A3D" w:rsidRPr="007B0205">
        <w:t>Notice 2004-2</w:t>
      </w:r>
      <w:r w:rsidR="00A74A3D" w:rsidRPr="00A74A3D">
        <w:t xml:space="preserve"> (Q&amp;A #3). This is also addressed in IRS </w:t>
      </w:r>
      <w:r w:rsidR="00B36476">
        <w:t>P</w:t>
      </w:r>
      <w:r w:rsidR="00A74A3D" w:rsidRPr="00A74A3D">
        <w:t>ublication 969.</w:t>
      </w:r>
    </w:p>
    <w:p w14:paraId="0656A658" w14:textId="77777777" w:rsidR="001F198B" w:rsidRDefault="001F198B" w:rsidP="001F198B">
      <w:pPr>
        <w:spacing w:after="0"/>
      </w:pPr>
    </w:p>
    <w:p w14:paraId="453844B3" w14:textId="77777777" w:rsidR="001F198B" w:rsidRDefault="001F198B" w:rsidP="001F198B">
      <w:pPr>
        <w:spacing w:after="0"/>
        <w:ind w:left="720"/>
      </w:pPr>
      <w:r w:rsidRPr="001F198B">
        <w:rPr>
          <w:b/>
          <w:i/>
        </w:rPr>
        <w:t>EXAMPLE 1</w:t>
      </w:r>
      <w:r>
        <w:t>:</w:t>
      </w:r>
      <w:r>
        <w:rPr>
          <w:i/>
        </w:rPr>
        <w:t xml:space="preserve"> </w:t>
      </w:r>
      <w:r w:rsidRPr="001F198B">
        <w:t>Family HDHP has a $5,000 deductible and an embedded individual deductible of $2,</w:t>
      </w:r>
      <w:r w:rsidR="00881C29">
        <w:t>8</w:t>
      </w:r>
      <w:r w:rsidRPr="001F198B">
        <w:t>00</w:t>
      </w:r>
      <w:r>
        <w:t>.</w:t>
      </w:r>
    </w:p>
    <w:p w14:paraId="1AB072DA" w14:textId="77777777" w:rsidR="001F198B" w:rsidRDefault="001F198B" w:rsidP="001F198B">
      <w:pPr>
        <w:spacing w:after="0"/>
        <w:ind w:left="720"/>
      </w:pPr>
    </w:p>
    <w:p w14:paraId="7E32D747" w14:textId="77777777" w:rsidR="001F198B" w:rsidRPr="001F198B" w:rsidRDefault="001F198B" w:rsidP="001F198B">
      <w:pPr>
        <w:spacing w:after="0"/>
        <w:ind w:left="720"/>
        <w:rPr>
          <w:i/>
        </w:rPr>
      </w:pPr>
      <w:r w:rsidRPr="001F198B">
        <w:rPr>
          <w:i/>
          <w:u w:val="single"/>
        </w:rPr>
        <w:t>This is NOT a qualifying HDHP because the embedded individual deductible is less than $</w:t>
      </w:r>
      <w:r w:rsidR="00881C29">
        <w:rPr>
          <w:i/>
          <w:u w:val="single"/>
        </w:rPr>
        <w:t>3</w:t>
      </w:r>
      <w:r w:rsidRPr="001F198B">
        <w:rPr>
          <w:i/>
          <w:u w:val="single"/>
        </w:rPr>
        <w:t>,</w:t>
      </w:r>
      <w:r w:rsidR="00881C29">
        <w:rPr>
          <w:i/>
          <w:u w:val="single"/>
        </w:rPr>
        <w:t>0</w:t>
      </w:r>
      <w:r w:rsidRPr="001F198B">
        <w:rPr>
          <w:i/>
          <w:u w:val="single"/>
        </w:rPr>
        <w:t>00</w:t>
      </w:r>
      <w:r w:rsidRPr="001F198B">
        <w:rPr>
          <w:i/>
        </w:rPr>
        <w:t>.</w:t>
      </w:r>
    </w:p>
    <w:p w14:paraId="7F79C6EF" w14:textId="77777777" w:rsidR="001F198B" w:rsidRPr="001F198B" w:rsidRDefault="001F198B" w:rsidP="001F198B">
      <w:pPr>
        <w:spacing w:after="0"/>
        <w:ind w:left="720"/>
        <w:rPr>
          <w:i/>
        </w:rPr>
      </w:pPr>
    </w:p>
    <w:p w14:paraId="7DD1C0AC" w14:textId="77777777" w:rsidR="001F198B" w:rsidRDefault="001F198B" w:rsidP="001F198B">
      <w:pPr>
        <w:spacing w:after="0"/>
        <w:ind w:left="720"/>
      </w:pPr>
      <w:r w:rsidRPr="001F198B">
        <w:rPr>
          <w:b/>
          <w:i/>
        </w:rPr>
        <w:t>EXAMPLE 2</w:t>
      </w:r>
      <w:r w:rsidRPr="001F198B">
        <w:t>:</w:t>
      </w:r>
      <w:r>
        <w:rPr>
          <w:i/>
        </w:rPr>
        <w:t xml:space="preserve"> </w:t>
      </w:r>
      <w:r w:rsidRPr="001F198B">
        <w:t>Family HDHP has a deductible of $6,000 and an embedded individual deductible of $3,</w:t>
      </w:r>
      <w:r w:rsidR="00881C29">
        <w:t>1</w:t>
      </w:r>
      <w:r w:rsidRPr="001F198B">
        <w:t>00</w:t>
      </w:r>
      <w:r w:rsidR="00A74A3D">
        <w:t>.</w:t>
      </w:r>
      <w:r w:rsidRPr="001F198B">
        <w:t xml:space="preserve"> </w:t>
      </w:r>
    </w:p>
    <w:p w14:paraId="72D97E71" w14:textId="77777777" w:rsidR="001F198B" w:rsidRDefault="001F198B" w:rsidP="001F198B">
      <w:pPr>
        <w:spacing w:after="0"/>
        <w:ind w:left="720"/>
        <w:rPr>
          <w:i/>
        </w:rPr>
      </w:pPr>
    </w:p>
    <w:p w14:paraId="1CD4ADEA" w14:textId="77777777" w:rsidR="001F198B" w:rsidRDefault="001F198B" w:rsidP="001F198B">
      <w:pPr>
        <w:spacing w:after="0"/>
        <w:ind w:left="720"/>
        <w:rPr>
          <w:i/>
          <w:u w:val="single"/>
        </w:rPr>
      </w:pPr>
      <w:r w:rsidRPr="001F198B">
        <w:rPr>
          <w:i/>
          <w:u w:val="single"/>
        </w:rPr>
        <w:t>This is a qualifying HDHP because the embedded individual deductible is more than $</w:t>
      </w:r>
      <w:r w:rsidR="00881C29">
        <w:rPr>
          <w:i/>
          <w:u w:val="single"/>
        </w:rPr>
        <w:t>3</w:t>
      </w:r>
      <w:r w:rsidRPr="001F198B">
        <w:rPr>
          <w:i/>
          <w:u w:val="single"/>
        </w:rPr>
        <w:t>,</w:t>
      </w:r>
      <w:r w:rsidR="00881C29">
        <w:rPr>
          <w:i/>
          <w:u w:val="single"/>
        </w:rPr>
        <w:t>0</w:t>
      </w:r>
      <w:r w:rsidRPr="001F198B">
        <w:rPr>
          <w:i/>
          <w:u w:val="single"/>
        </w:rPr>
        <w:t>00</w:t>
      </w:r>
      <w:r w:rsidR="00F03FDF">
        <w:rPr>
          <w:i/>
          <w:u w:val="single"/>
        </w:rPr>
        <w:t>.</w:t>
      </w:r>
    </w:p>
    <w:p w14:paraId="26209D09" w14:textId="77777777" w:rsidR="00715485" w:rsidRDefault="00715485" w:rsidP="00C00353">
      <w:pPr>
        <w:spacing w:after="0"/>
        <w:rPr>
          <w:i/>
          <w:u w:val="single"/>
        </w:rPr>
      </w:pPr>
    </w:p>
    <w:p w14:paraId="4C35307F" w14:textId="77777777" w:rsidR="00C00353" w:rsidRDefault="00C00353" w:rsidP="00C00353">
      <w:pPr>
        <w:spacing w:after="0"/>
        <w:rPr>
          <w:i/>
          <w:u w:val="single"/>
        </w:rPr>
      </w:pPr>
    </w:p>
    <w:p w14:paraId="2F9243E4" w14:textId="77777777" w:rsidR="00C00353" w:rsidRDefault="00C00353" w:rsidP="00C00353">
      <w:pPr>
        <w:spacing w:after="0"/>
        <w:rPr>
          <w:i/>
          <w:u w:val="single"/>
        </w:rPr>
      </w:pPr>
    </w:p>
    <w:p w14:paraId="19434DCF" w14:textId="77777777" w:rsidR="00C00353" w:rsidRPr="001F198B" w:rsidRDefault="00C00353" w:rsidP="00C00353">
      <w:pPr>
        <w:spacing w:after="0"/>
        <w:rPr>
          <w:i/>
          <w:u w:val="single"/>
        </w:rPr>
      </w:pPr>
    </w:p>
    <w:p w14:paraId="460CB8B8" w14:textId="77777777" w:rsidR="00091799" w:rsidRPr="00091799" w:rsidRDefault="00A74A3D" w:rsidP="00531286">
      <w:pPr>
        <w:pStyle w:val="Heading3"/>
      </w:pPr>
      <w:r>
        <w:t>Coordination of OOP Maximum with ACA Requirements</w:t>
      </w:r>
    </w:p>
    <w:p w14:paraId="71173F5C" w14:textId="77777777" w:rsidR="00A74A3D" w:rsidRDefault="00A74A3D" w:rsidP="00A74A3D">
      <w:pPr>
        <w:spacing w:after="0"/>
      </w:pPr>
      <w:bookmarkStart w:id="5" w:name="_Hlk482188750"/>
      <w:r>
        <w:lastRenderedPageBreak/>
        <w:t xml:space="preserve">The ACA’s maximum OOP on essential health benefits requires that any individual </w:t>
      </w:r>
      <w:r w:rsidR="00F03FDF">
        <w:t>who</w:t>
      </w:r>
      <w:r>
        <w:t xml:space="preserve"> meets the ACA individual OOP maximum in expenses be reimbursed at 100% (an embedded individual OOP maximum). For 20</w:t>
      </w:r>
      <w:r w:rsidR="002E7034">
        <w:t>2</w:t>
      </w:r>
      <w:r w:rsidR="004251FC">
        <w:t>3</w:t>
      </w:r>
      <w:r>
        <w:t xml:space="preserve">, an individual enrolled in </w:t>
      </w:r>
      <w:r w:rsidR="007A369D">
        <w:t>family</w:t>
      </w:r>
      <w:r>
        <w:t xml:space="preserve"> HDHP coverage must have all expenses reimbursed at 100% once the individual incurs $</w:t>
      </w:r>
      <w:r w:rsidR="00A43CCE">
        <w:t>9</w:t>
      </w:r>
      <w:r>
        <w:t>,</w:t>
      </w:r>
      <w:r w:rsidR="00A43CCE">
        <w:t>1</w:t>
      </w:r>
      <w:r w:rsidR="00C32A0E">
        <w:t>0</w:t>
      </w:r>
      <w:r>
        <w:t>0 in medical expenses</w:t>
      </w:r>
      <w:r w:rsidR="0067725B">
        <w:t xml:space="preserve">, </w:t>
      </w:r>
      <w:r w:rsidR="00B32EBB">
        <w:t>even if the HDHP OOP maximum is higher</w:t>
      </w:r>
      <w:r>
        <w:t xml:space="preserve">. </w:t>
      </w:r>
    </w:p>
    <w:bookmarkEnd w:id="5"/>
    <w:p w14:paraId="23E6A86E" w14:textId="77777777" w:rsidR="00A74A3D" w:rsidRDefault="00A74A3D" w:rsidP="00A74A3D">
      <w:pPr>
        <w:spacing w:after="0"/>
        <w:ind w:left="720"/>
        <w:rPr>
          <w:b/>
          <w:i/>
        </w:rPr>
      </w:pPr>
    </w:p>
    <w:p w14:paraId="62D84F1D" w14:textId="77777777" w:rsidR="00A74A3D" w:rsidRDefault="00A74A3D" w:rsidP="00A74A3D">
      <w:pPr>
        <w:spacing w:after="0"/>
        <w:ind w:left="720"/>
      </w:pPr>
      <w:r w:rsidRPr="001F198B">
        <w:rPr>
          <w:b/>
          <w:i/>
        </w:rPr>
        <w:t>EXAMPLE</w:t>
      </w:r>
      <w:r w:rsidR="00531286">
        <w:rPr>
          <w:b/>
          <w:i/>
        </w:rPr>
        <w:t xml:space="preserve"> 1</w:t>
      </w:r>
      <w:r>
        <w:t>:</w:t>
      </w:r>
      <w:r>
        <w:rPr>
          <w:i/>
        </w:rPr>
        <w:t xml:space="preserve"> </w:t>
      </w:r>
      <w:r w:rsidRPr="001F198B">
        <w:t xml:space="preserve">Family HDHP has a $5,000 deductible and </w:t>
      </w:r>
      <w:r>
        <w:t>maximum OOP of $10,000.</w:t>
      </w:r>
      <w:r w:rsidR="00531286">
        <w:t xml:space="preserve"> Covered individuals are subject to plan copays and coinsurance once the </w:t>
      </w:r>
      <w:r w:rsidR="0062410C">
        <w:t>deductible</w:t>
      </w:r>
      <w:r w:rsidR="00531286">
        <w:t xml:space="preserve"> is met until $10,000 in medical expenses has been incurred by one or all covered individuals.</w:t>
      </w:r>
    </w:p>
    <w:p w14:paraId="1F5FEC7F" w14:textId="77777777" w:rsidR="00A74A3D" w:rsidRDefault="00A74A3D" w:rsidP="00A74A3D">
      <w:pPr>
        <w:spacing w:after="0"/>
        <w:ind w:left="720"/>
      </w:pPr>
    </w:p>
    <w:p w14:paraId="3E007943" w14:textId="77777777" w:rsidR="00531286" w:rsidRPr="001F198B" w:rsidRDefault="00531286" w:rsidP="00531286">
      <w:pPr>
        <w:spacing w:after="0"/>
        <w:ind w:left="720"/>
        <w:rPr>
          <w:i/>
        </w:rPr>
      </w:pPr>
      <w:r w:rsidRPr="001F198B">
        <w:rPr>
          <w:i/>
          <w:u w:val="single"/>
        </w:rPr>
        <w:t>This is a qualifying HDHP</w:t>
      </w:r>
      <w:r>
        <w:rPr>
          <w:i/>
          <w:u w:val="single"/>
        </w:rPr>
        <w:t>, but would violate ACA requirements</w:t>
      </w:r>
      <w:r w:rsidRPr="001F198B">
        <w:rPr>
          <w:i/>
          <w:u w:val="single"/>
        </w:rPr>
        <w:t xml:space="preserve"> because </w:t>
      </w:r>
      <w:r>
        <w:rPr>
          <w:i/>
          <w:u w:val="single"/>
        </w:rPr>
        <w:t>a single individual may have to incur up to $10,000</w:t>
      </w:r>
      <w:r w:rsidR="00B32EBB">
        <w:rPr>
          <w:i/>
          <w:u w:val="single"/>
        </w:rPr>
        <w:t xml:space="preserve"> (&gt; $</w:t>
      </w:r>
      <w:r w:rsidR="00A43CCE">
        <w:rPr>
          <w:i/>
          <w:u w:val="single"/>
        </w:rPr>
        <w:t>9,1</w:t>
      </w:r>
      <w:r w:rsidR="00C32A0E">
        <w:rPr>
          <w:i/>
          <w:u w:val="single"/>
        </w:rPr>
        <w:t>0</w:t>
      </w:r>
      <w:r w:rsidR="00B32EBB">
        <w:rPr>
          <w:i/>
          <w:u w:val="single"/>
        </w:rPr>
        <w:t>0)</w:t>
      </w:r>
      <w:r>
        <w:rPr>
          <w:i/>
          <w:u w:val="single"/>
        </w:rPr>
        <w:t xml:space="preserve"> in medical expenses before receiving 100% plan coverage</w:t>
      </w:r>
      <w:r w:rsidRPr="001F198B">
        <w:rPr>
          <w:i/>
        </w:rPr>
        <w:t>.</w:t>
      </w:r>
    </w:p>
    <w:p w14:paraId="3338D0DD" w14:textId="77777777" w:rsidR="00A74A3D" w:rsidRPr="001F198B" w:rsidRDefault="00A74A3D" w:rsidP="00A74A3D">
      <w:pPr>
        <w:spacing w:after="0"/>
        <w:ind w:left="720"/>
        <w:rPr>
          <w:i/>
        </w:rPr>
      </w:pPr>
    </w:p>
    <w:p w14:paraId="25B179BD" w14:textId="77777777" w:rsidR="00531286" w:rsidRDefault="00531286" w:rsidP="00531286">
      <w:pPr>
        <w:spacing w:after="0"/>
        <w:ind w:left="720"/>
      </w:pPr>
      <w:r w:rsidRPr="001F198B">
        <w:rPr>
          <w:b/>
          <w:i/>
        </w:rPr>
        <w:t>EXAMPLE</w:t>
      </w:r>
      <w:r>
        <w:rPr>
          <w:b/>
          <w:i/>
        </w:rPr>
        <w:t xml:space="preserve"> 2</w:t>
      </w:r>
      <w:r>
        <w:t>:</w:t>
      </w:r>
      <w:r>
        <w:rPr>
          <w:i/>
        </w:rPr>
        <w:t xml:space="preserve"> </w:t>
      </w:r>
      <w:r w:rsidRPr="001F198B">
        <w:t>Family HDHP has a $</w:t>
      </w:r>
      <w:r>
        <w:t>6</w:t>
      </w:r>
      <w:r w:rsidRPr="001F198B">
        <w:t xml:space="preserve">,000 deductible and </w:t>
      </w:r>
      <w:r>
        <w:t>maximum OOP of $12,000 ($6,000 embedded individual OOP maximum). Covered individuals are subject to plan copays and coinsurance once the deductible is met until $12,000 in medical expenses has been incurred by the family, or any covered individual alone incurs $6,000 in medical expenses.</w:t>
      </w:r>
    </w:p>
    <w:p w14:paraId="24981E21" w14:textId="77777777" w:rsidR="00531286" w:rsidRDefault="00531286" w:rsidP="00531286">
      <w:pPr>
        <w:spacing w:after="0"/>
        <w:ind w:left="720"/>
      </w:pPr>
    </w:p>
    <w:p w14:paraId="7AC8A2FD" w14:textId="77777777" w:rsidR="00715485" w:rsidRPr="00B53FF7" w:rsidRDefault="00531286" w:rsidP="00B53FF7">
      <w:pPr>
        <w:spacing w:after="0"/>
        <w:ind w:left="720"/>
        <w:rPr>
          <w:i/>
        </w:rPr>
      </w:pPr>
      <w:r w:rsidRPr="001F198B">
        <w:rPr>
          <w:i/>
          <w:u w:val="single"/>
        </w:rPr>
        <w:t>This is a qualifying HDHP</w:t>
      </w:r>
      <w:r>
        <w:rPr>
          <w:i/>
          <w:u w:val="single"/>
        </w:rPr>
        <w:t xml:space="preserve"> and would meet ACA requirements</w:t>
      </w:r>
      <w:r w:rsidRPr="001F198B">
        <w:rPr>
          <w:i/>
          <w:u w:val="single"/>
        </w:rPr>
        <w:t xml:space="preserve"> because </w:t>
      </w:r>
      <w:r>
        <w:rPr>
          <w:i/>
          <w:u w:val="single"/>
        </w:rPr>
        <w:t>a single individual would receive 100% plan coverage once $6,000</w:t>
      </w:r>
      <w:r w:rsidR="00B32EBB">
        <w:rPr>
          <w:i/>
          <w:u w:val="single"/>
        </w:rPr>
        <w:t xml:space="preserve"> (&lt; $</w:t>
      </w:r>
      <w:r w:rsidR="00A43CCE">
        <w:rPr>
          <w:i/>
          <w:u w:val="single"/>
        </w:rPr>
        <w:t>9</w:t>
      </w:r>
      <w:r w:rsidR="002E7034">
        <w:rPr>
          <w:i/>
          <w:u w:val="single"/>
        </w:rPr>
        <w:t>,</w:t>
      </w:r>
      <w:r w:rsidR="00A43CCE">
        <w:rPr>
          <w:i/>
          <w:u w:val="single"/>
        </w:rPr>
        <w:t>1</w:t>
      </w:r>
      <w:r w:rsidR="00C32A0E">
        <w:rPr>
          <w:i/>
          <w:u w:val="single"/>
        </w:rPr>
        <w:t>0</w:t>
      </w:r>
      <w:r w:rsidR="00B32EBB">
        <w:rPr>
          <w:i/>
          <w:u w:val="single"/>
        </w:rPr>
        <w:t>0)</w:t>
      </w:r>
      <w:r>
        <w:rPr>
          <w:i/>
          <w:u w:val="single"/>
        </w:rPr>
        <w:t xml:space="preserve"> of medical expenses is incurred</w:t>
      </w:r>
      <w:r w:rsidRPr="001F198B">
        <w:rPr>
          <w:i/>
        </w:rPr>
        <w:t>.</w:t>
      </w:r>
    </w:p>
    <w:p w14:paraId="7E21BD4A" w14:textId="77777777" w:rsidR="005E3DE4" w:rsidRDefault="00531286" w:rsidP="00531286">
      <w:pPr>
        <w:pStyle w:val="Heading2"/>
      </w:pPr>
      <w:r>
        <w:t>Disqualifying Coverage</w:t>
      </w:r>
    </w:p>
    <w:p w14:paraId="6F67C9F9" w14:textId="77777777" w:rsidR="00326D76" w:rsidRDefault="00531286" w:rsidP="00326D76">
      <w:pPr>
        <w:spacing w:after="0"/>
      </w:pPr>
      <w:r>
        <w:t>Most medical coverage available to an individual prior to meeting the statutory HDHP deductible ($</w:t>
      </w:r>
      <w:r w:rsidR="00A43CCE">
        <w:t>1,5</w:t>
      </w:r>
      <w:r w:rsidR="002E7034">
        <w:t>0</w:t>
      </w:r>
      <w:r>
        <w:t>0/$</w:t>
      </w:r>
      <w:r w:rsidR="00A43CCE">
        <w:t>3</w:t>
      </w:r>
      <w:r w:rsidR="00E64719">
        <w:t>,</w:t>
      </w:r>
      <w:r w:rsidR="00A43CCE">
        <w:t>0</w:t>
      </w:r>
      <w:r>
        <w:t>00 in 20</w:t>
      </w:r>
      <w:r w:rsidR="002E7034">
        <w:t>2</w:t>
      </w:r>
      <w:r w:rsidR="00A43CCE">
        <w:t>3</w:t>
      </w:r>
      <w:r>
        <w:t>) will cause HSA ineligibility. However, t</w:t>
      </w:r>
      <w:r w:rsidR="00326D76">
        <w:t>here is an exception for preventive coverage, as well as for permitted insurance and permitted coverage. Individuals who have such coverage prior to meeting the minimum statutory HDHP deductible remain eligible to contribute to an HSA.</w:t>
      </w:r>
    </w:p>
    <w:p w14:paraId="7BBC4CAA" w14:textId="77777777" w:rsidR="00326D76" w:rsidRDefault="00326D76" w:rsidP="00326D76">
      <w:pPr>
        <w:numPr>
          <w:ilvl w:val="0"/>
          <w:numId w:val="19"/>
        </w:numPr>
        <w:spacing w:after="0"/>
      </w:pPr>
      <w:r w:rsidRPr="00326D76">
        <w:rPr>
          <w:u w:val="single"/>
        </w:rPr>
        <w:t>Permitted insurance</w:t>
      </w:r>
      <w:r>
        <w:t xml:space="preserve"> includes:</w:t>
      </w:r>
    </w:p>
    <w:p w14:paraId="01D615AA" w14:textId="77777777" w:rsidR="00326D76" w:rsidRDefault="00326D76" w:rsidP="00326D76">
      <w:pPr>
        <w:numPr>
          <w:ilvl w:val="1"/>
          <w:numId w:val="19"/>
        </w:numPr>
        <w:spacing w:after="0"/>
      </w:pPr>
      <w:r>
        <w:t>Insurance in which substantially all of the coverage relates to liabilities incurred under workers’ compensation laws; tort liabilities; liabilities relating to ownership or use of property (e.g., homeowner or auto insurance); or similar liabilities as specified by the IRS;</w:t>
      </w:r>
    </w:p>
    <w:p w14:paraId="0D09D0A2" w14:textId="77777777" w:rsidR="00326D76" w:rsidRDefault="00326D76" w:rsidP="00326D76">
      <w:pPr>
        <w:numPr>
          <w:ilvl w:val="1"/>
          <w:numId w:val="19"/>
        </w:numPr>
        <w:spacing w:after="0"/>
      </w:pPr>
      <w:r>
        <w:t>Insurance for a specified disease or illness (e.g., cancer insurance); and</w:t>
      </w:r>
    </w:p>
    <w:p w14:paraId="4C95A155" w14:textId="77777777" w:rsidR="00326D76" w:rsidRDefault="00326D76" w:rsidP="00326D76">
      <w:pPr>
        <w:numPr>
          <w:ilvl w:val="1"/>
          <w:numId w:val="19"/>
        </w:numPr>
        <w:spacing w:after="0"/>
      </w:pPr>
      <w:r>
        <w:t>Insurance that pays a fixed amount per day (or other period) of hospitalization (e.g., hospital indemnity insurance).</w:t>
      </w:r>
    </w:p>
    <w:p w14:paraId="235B197B" w14:textId="77777777" w:rsidR="00326D76" w:rsidRDefault="00326D76" w:rsidP="00326D76">
      <w:pPr>
        <w:numPr>
          <w:ilvl w:val="0"/>
          <w:numId w:val="19"/>
        </w:numPr>
        <w:spacing w:after="0"/>
      </w:pPr>
      <w:r w:rsidRPr="00326D76">
        <w:rPr>
          <w:u w:val="single"/>
        </w:rPr>
        <w:t>Permitted coverage</w:t>
      </w:r>
      <w:r>
        <w:t xml:space="preserve"> includes coverage for accidents, disability, dental care, vision care, or long-term care.</w:t>
      </w:r>
    </w:p>
    <w:p w14:paraId="78ED458B" w14:textId="77777777" w:rsidR="00326D76" w:rsidRDefault="00326D76" w:rsidP="00326D76">
      <w:pPr>
        <w:numPr>
          <w:ilvl w:val="0"/>
          <w:numId w:val="19"/>
        </w:numPr>
        <w:spacing w:after="0"/>
      </w:pPr>
      <w:r w:rsidRPr="00326D76">
        <w:rPr>
          <w:u w:val="single"/>
        </w:rPr>
        <w:t>Preventive coverage</w:t>
      </w:r>
      <w:r>
        <w:t xml:space="preserve"> includes preventive services described in IRS Notice 2004-23 (</w:t>
      </w:r>
      <w:hyperlink r:id="rId11" w:history="1">
        <w:r w:rsidRPr="00286E78">
          <w:rPr>
            <w:rStyle w:val="Hyperlink"/>
          </w:rPr>
          <w:t>https://www.irs.gov/pub/irs-drop/n-04-23.pdf</w:t>
        </w:r>
      </w:hyperlink>
      <w:r>
        <w:t xml:space="preserve">) and items considered to be preventive care and required to be covered with no cost-sharing under the ACA (PHSA §2713). Preventive coverage generally does not include any service or benefit intended to treat an existing illness, injury, or condition. However, in an effort to encourage treatment for some chronic illnesses, IRS guidance expanded the definition of preventive coverage to also include the medical care services and items listed in </w:t>
      </w:r>
      <w:r w:rsidRPr="00326D76">
        <w:t>IRS Notice 2019-45</w:t>
      </w:r>
      <w:r>
        <w:t xml:space="preserve"> (</w:t>
      </w:r>
      <w:hyperlink r:id="rId12" w:history="1">
        <w:r w:rsidRPr="00286E78">
          <w:rPr>
            <w:rStyle w:val="Hyperlink"/>
          </w:rPr>
          <w:t>https://www.irs.gov/pub/irs-drop/n-19-45.pdf</w:t>
        </w:r>
      </w:hyperlink>
      <w:r>
        <w:t>).</w:t>
      </w:r>
    </w:p>
    <w:p w14:paraId="4191D8BC" w14:textId="77777777" w:rsidR="00531286" w:rsidRDefault="00531286" w:rsidP="00DF0C04">
      <w:pPr>
        <w:pStyle w:val="ColorfulList-Accent12"/>
        <w:spacing w:after="0" w:line="240" w:lineRule="auto"/>
        <w:ind w:left="0"/>
      </w:pPr>
    </w:p>
    <w:p w14:paraId="13348C3A" w14:textId="77777777" w:rsidR="002E7034" w:rsidRDefault="00B32EBB" w:rsidP="00CE4D88">
      <w:bookmarkStart w:id="6" w:name="_Hlk482189767"/>
      <w:r>
        <w:t xml:space="preserve">In general, only </w:t>
      </w:r>
      <w:r w:rsidR="009A3DAA">
        <w:t xml:space="preserve">coverage available to the individual </w:t>
      </w:r>
      <w:r w:rsidR="00F03FDF">
        <w:t>affects</w:t>
      </w:r>
      <w:r w:rsidR="009A3DAA">
        <w:t xml:space="preserve"> HSA</w:t>
      </w:r>
      <w:r w:rsidR="00F03FDF">
        <w:t xml:space="preserve"> </w:t>
      </w:r>
      <w:r w:rsidR="009A3DAA">
        <w:t xml:space="preserve">eligibility. If the </w:t>
      </w:r>
      <w:r w:rsidR="00CE4D88">
        <w:t>s</w:t>
      </w:r>
      <w:r w:rsidR="00CE4D88" w:rsidRPr="00194647">
        <w:t xml:space="preserve">pouse </w:t>
      </w:r>
      <w:r w:rsidR="00CE4D88">
        <w:t xml:space="preserve">or dependents </w:t>
      </w:r>
      <w:r w:rsidR="004C4363">
        <w:t xml:space="preserve">have </w:t>
      </w:r>
      <w:r w:rsidR="009A3DAA">
        <w:t>disqualifying coverage</w:t>
      </w:r>
      <w:r>
        <w:t xml:space="preserve"> (other than a general</w:t>
      </w:r>
      <w:r w:rsidR="007A369D">
        <w:t>-</w:t>
      </w:r>
      <w:r>
        <w:t>purpose health FSA or HRA)</w:t>
      </w:r>
      <w:r w:rsidR="004C4363">
        <w:t>, that</w:t>
      </w:r>
      <w:r w:rsidR="00CE4D88" w:rsidRPr="00194647">
        <w:t xml:space="preserve"> does not </w:t>
      </w:r>
      <w:r w:rsidR="00F03FDF">
        <w:t>affect</w:t>
      </w:r>
      <w:r w:rsidR="00CE4D88" w:rsidRPr="00194647">
        <w:t xml:space="preserve"> the </w:t>
      </w:r>
      <w:r w:rsidR="009A3DAA">
        <w:t>individual</w:t>
      </w:r>
      <w:r w:rsidR="00CE4D88" w:rsidRPr="00194647">
        <w:t xml:space="preserve">’s ability to maintain and contribute to an </w:t>
      </w:r>
      <w:r w:rsidR="00CE4D88" w:rsidRPr="008057A3">
        <w:t xml:space="preserve">HSA. </w:t>
      </w:r>
      <w:bookmarkEnd w:id="6"/>
      <w:r w:rsidR="004C4363">
        <w:t>For example, if an employee enrolls in family HDHP coverage and the spouse is enrolled in non-HDHP coverage or Medicare, the employee is still eligible to contribute to an HSA so long as the employee doesn’t have any disqualifying coverage.</w:t>
      </w:r>
      <w:r w:rsidR="006A64B3">
        <w:t xml:space="preserve"> But keep in mind that a spouse’s or dependent’s coverage in a general</w:t>
      </w:r>
      <w:r w:rsidR="00117C33">
        <w:t>-</w:t>
      </w:r>
      <w:r w:rsidR="006A64B3">
        <w:t xml:space="preserve">purpose </w:t>
      </w:r>
      <w:r w:rsidR="00117C33">
        <w:t xml:space="preserve">health </w:t>
      </w:r>
      <w:r w:rsidR="006A64B3">
        <w:t xml:space="preserve">FSA or HRA may impact an individual’s HSA-eligibility if the individual is eligible to have their qualifying expenses reimbursed by the </w:t>
      </w:r>
      <w:r w:rsidR="00117C33">
        <w:t xml:space="preserve">health </w:t>
      </w:r>
      <w:r w:rsidR="006A64B3">
        <w:t xml:space="preserve">FSA or HRA. </w:t>
      </w:r>
    </w:p>
    <w:p w14:paraId="61F43E12" w14:textId="77777777" w:rsidR="00DA36BF" w:rsidRDefault="00DA36BF" w:rsidP="00531286">
      <w:pPr>
        <w:pStyle w:val="ColorfulList-Accent12"/>
        <w:spacing w:after="0" w:line="240" w:lineRule="auto"/>
      </w:pPr>
    </w:p>
    <w:tbl>
      <w:tblPr>
        <w:tblpPr w:leftFromText="180" w:rightFromText="180" w:vertAnchor="text" w:horzAnchor="margin" w:tblpY="-34"/>
        <w:tblW w:w="10070" w:type="dxa"/>
        <w:tblCellMar>
          <w:left w:w="0" w:type="dxa"/>
          <w:right w:w="0" w:type="dxa"/>
        </w:tblCellMar>
        <w:tblLook w:val="0420" w:firstRow="1" w:lastRow="0" w:firstColumn="0" w:lastColumn="0" w:noHBand="0" w:noVBand="1"/>
      </w:tblPr>
      <w:tblGrid>
        <w:gridCol w:w="4914"/>
        <w:gridCol w:w="5156"/>
      </w:tblGrid>
      <w:tr w:rsidR="00DA36BF" w:rsidRPr="00BB779E" w14:paraId="68ED87A4" w14:textId="77777777" w:rsidTr="00DA36BF">
        <w:tc>
          <w:tcPr>
            <w:tcW w:w="4914"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71FE30CC" w14:textId="77777777" w:rsidR="00DA36BF" w:rsidRPr="00BB779E" w:rsidRDefault="00DA36BF" w:rsidP="00DA36BF">
            <w:r>
              <w:rPr>
                <w:b/>
                <w:bCs/>
              </w:rPr>
              <w:t>Permissible Coverage</w:t>
            </w:r>
          </w:p>
        </w:tc>
        <w:tc>
          <w:tcPr>
            <w:tcW w:w="5156"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3FA2F067" w14:textId="77777777" w:rsidR="00DA36BF" w:rsidRPr="00BB779E" w:rsidRDefault="00DA36BF" w:rsidP="00DA36BF">
            <w:r>
              <w:rPr>
                <w:b/>
                <w:bCs/>
              </w:rPr>
              <w:t>Impermissible Coverage</w:t>
            </w:r>
          </w:p>
        </w:tc>
      </w:tr>
      <w:tr w:rsidR="00DA36BF" w:rsidRPr="00BB779E" w14:paraId="47E2424D" w14:textId="77777777" w:rsidTr="00880F24">
        <w:tc>
          <w:tcPr>
            <w:tcW w:w="4914" w:type="dxa"/>
            <w:tcBorders>
              <w:top w:val="single" w:sz="24"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7B7991D1" w14:textId="77777777" w:rsidR="00DA36BF" w:rsidRPr="00B0638B" w:rsidRDefault="00DA36BF" w:rsidP="00DA36BF">
            <w:r>
              <w:t>Limited-purpose or post-deductible health FSA</w:t>
            </w:r>
          </w:p>
        </w:tc>
        <w:tc>
          <w:tcPr>
            <w:tcW w:w="5156" w:type="dxa"/>
            <w:tcBorders>
              <w:top w:val="single" w:sz="24"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01DBE6B5" w14:textId="77777777" w:rsidR="00DF0C04" w:rsidRPr="00194647" w:rsidRDefault="00DF0C04" w:rsidP="00DF0C04">
            <w:pPr>
              <w:spacing w:after="0"/>
            </w:pPr>
            <w:r>
              <w:t>Medical</w:t>
            </w:r>
            <w:r w:rsidRPr="00194647">
              <w:t xml:space="preserve"> plans with </w:t>
            </w:r>
            <w:r>
              <w:t xml:space="preserve">a </w:t>
            </w:r>
            <w:r w:rsidRPr="00194647">
              <w:t>deductible or OOP</w:t>
            </w:r>
            <w:r>
              <w:t xml:space="preserve"> maximum</w:t>
            </w:r>
            <w:r w:rsidRPr="00194647">
              <w:t xml:space="preserve"> less than the HSA statutory minimum</w:t>
            </w:r>
            <w:r>
              <w:t>s</w:t>
            </w:r>
          </w:p>
          <w:p w14:paraId="6C2E50E5" w14:textId="77777777" w:rsidR="00DA36BF" w:rsidRPr="00B0638B" w:rsidRDefault="00DA36BF" w:rsidP="00DA36BF"/>
        </w:tc>
      </w:tr>
      <w:tr w:rsidR="00DA36BF" w:rsidRPr="00BB779E" w14:paraId="6FF06CBF" w14:textId="77777777" w:rsidTr="00DA36BF">
        <w:tc>
          <w:tcPr>
            <w:tcW w:w="4914"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4E165E1C" w14:textId="77777777" w:rsidR="00DA36BF" w:rsidRPr="00B0638B" w:rsidRDefault="00DA36BF" w:rsidP="00DA36BF">
            <w:r>
              <w:t>Limited-purpose or post-deductible HRA</w:t>
            </w:r>
          </w:p>
        </w:tc>
        <w:tc>
          <w:tcPr>
            <w:tcW w:w="5156"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4B2545B7" w14:textId="77777777" w:rsidR="00DA36BF" w:rsidRPr="00E706E1" w:rsidRDefault="00DF0C04" w:rsidP="00DA36BF">
            <w:r>
              <w:t>General-purpose health FSAs</w:t>
            </w:r>
          </w:p>
        </w:tc>
      </w:tr>
      <w:tr w:rsidR="00DA36BF" w:rsidRPr="00BB779E" w14:paraId="49EE9A44" w14:textId="77777777" w:rsidTr="00880F24">
        <w:tc>
          <w:tcPr>
            <w:tcW w:w="4914"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7588D179" w14:textId="77777777" w:rsidR="00DA36BF" w:rsidRPr="00B0638B" w:rsidRDefault="00DA36BF" w:rsidP="00DA36BF">
            <w:r>
              <w:t>Specific disease or hospital indemnity policy</w:t>
            </w:r>
          </w:p>
        </w:tc>
        <w:tc>
          <w:tcPr>
            <w:tcW w:w="5156"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1CD8F2FD" w14:textId="77777777" w:rsidR="00DA36BF" w:rsidRPr="00E706E1" w:rsidRDefault="006A64B3" w:rsidP="00DA36BF">
            <w:r>
              <w:t xml:space="preserve">General-purpose </w:t>
            </w:r>
            <w:r w:rsidR="00BD54EA">
              <w:t xml:space="preserve">or Excepted Benefit </w:t>
            </w:r>
            <w:r w:rsidR="00DF0C04">
              <w:t>HRAs</w:t>
            </w:r>
            <w:r>
              <w:t xml:space="preserve"> </w:t>
            </w:r>
          </w:p>
        </w:tc>
      </w:tr>
      <w:tr w:rsidR="00DA36BF" w:rsidRPr="00BB779E" w14:paraId="1B532BA2" w14:textId="77777777" w:rsidTr="00BD54EA">
        <w:tc>
          <w:tcPr>
            <w:tcW w:w="4914"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61A1120B" w14:textId="77777777" w:rsidR="00DA36BF" w:rsidRPr="00B0638B" w:rsidRDefault="00DA36BF" w:rsidP="00DA36BF">
            <w:r>
              <w:t>Employee Assistance Programs (EAPS), so long as they do not provide significant medical care</w:t>
            </w:r>
          </w:p>
        </w:tc>
        <w:tc>
          <w:tcPr>
            <w:tcW w:w="5156"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tcPr>
          <w:p w14:paraId="7B3E2D0C" w14:textId="77777777" w:rsidR="00DA36BF" w:rsidRPr="00E706E1" w:rsidRDefault="00BD54EA" w:rsidP="00DA36BF">
            <w:r>
              <w:rPr>
                <w:rFonts w:cs="Arial"/>
              </w:rPr>
              <w:t xml:space="preserve">QSEHRAs or ICHRAs that reimburse </w:t>
            </w:r>
            <w:r w:rsidR="009B3ABA">
              <w:rPr>
                <w:rFonts w:cs="Arial"/>
              </w:rPr>
              <w:t>qualifying medical expenses beyond</w:t>
            </w:r>
            <w:r>
              <w:rPr>
                <w:rFonts w:cs="Arial"/>
              </w:rPr>
              <w:t xml:space="preserve"> medical insurance premiums</w:t>
            </w:r>
            <w:r w:rsidR="009B3ABA">
              <w:rPr>
                <w:rFonts w:cs="Arial"/>
              </w:rPr>
              <w:t xml:space="preserve"> and dental or vision expenses</w:t>
            </w:r>
          </w:p>
        </w:tc>
      </w:tr>
      <w:tr w:rsidR="00BD54EA" w:rsidRPr="00BB779E" w14:paraId="76370E25" w14:textId="77777777" w:rsidTr="00BD54EA">
        <w:tc>
          <w:tcPr>
            <w:tcW w:w="4914"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60BDAC82" w14:textId="77777777" w:rsidR="00BD54EA" w:rsidRPr="00B0638B" w:rsidRDefault="00BD54EA" w:rsidP="00BD54EA">
            <w:r>
              <w:t>Wellness programs, so long as they do not provide significant medical care</w:t>
            </w:r>
          </w:p>
        </w:tc>
        <w:tc>
          <w:tcPr>
            <w:tcW w:w="5156"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678FDC14" w14:textId="77777777" w:rsidR="00BD54EA" w:rsidRPr="00DA36BF" w:rsidRDefault="00BD54EA" w:rsidP="00BD54EA">
            <w:pPr>
              <w:pStyle w:val="ColorfulList-Accent12"/>
              <w:spacing w:after="0" w:line="240" w:lineRule="auto"/>
              <w:ind w:left="0"/>
              <w:rPr>
                <w:rFonts w:ascii="Arial" w:hAnsi="Arial" w:cs="Arial"/>
              </w:rPr>
            </w:pPr>
            <w:r w:rsidRPr="00DA36BF">
              <w:rPr>
                <w:rFonts w:ascii="Arial" w:hAnsi="Arial" w:cs="Arial"/>
              </w:rPr>
              <w:t>Medicare, Tricare</w:t>
            </w:r>
            <w:r>
              <w:rPr>
                <w:rFonts w:ascii="Arial" w:hAnsi="Arial" w:cs="Arial"/>
              </w:rPr>
              <w:t>,</w:t>
            </w:r>
            <w:r w:rsidRPr="00DA36BF">
              <w:rPr>
                <w:rFonts w:ascii="Arial" w:hAnsi="Arial" w:cs="Arial"/>
              </w:rPr>
              <w:t xml:space="preserve"> and Medicaid coverage</w:t>
            </w:r>
          </w:p>
          <w:p w14:paraId="14FAD7D7" w14:textId="77777777" w:rsidR="00BD54EA" w:rsidRPr="00B0638B" w:rsidRDefault="00BD54EA" w:rsidP="00BD54EA"/>
        </w:tc>
      </w:tr>
      <w:tr w:rsidR="00BD54EA" w:rsidRPr="00BB779E" w14:paraId="67C20380" w14:textId="77777777" w:rsidTr="00BD54EA">
        <w:tc>
          <w:tcPr>
            <w:tcW w:w="4914"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3926A6BD" w14:textId="77777777" w:rsidR="00BD54EA" w:rsidRPr="00194647" w:rsidRDefault="00BD54EA" w:rsidP="00BD54EA">
            <w:pPr>
              <w:spacing w:after="0"/>
            </w:pPr>
            <w:r>
              <w:t>VA coverage for individuals with a disability rating</w:t>
            </w:r>
          </w:p>
          <w:p w14:paraId="1AD77FE6" w14:textId="77777777" w:rsidR="00BD54EA" w:rsidRPr="00B0638B" w:rsidRDefault="00BD54EA" w:rsidP="00BD54EA"/>
        </w:tc>
        <w:tc>
          <w:tcPr>
            <w:tcW w:w="5156"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tcPr>
          <w:p w14:paraId="585248DC" w14:textId="77777777" w:rsidR="00BD54EA" w:rsidRPr="00E706E1" w:rsidRDefault="00BD54EA" w:rsidP="00BD54EA">
            <w:r>
              <w:rPr>
                <w:bCs/>
              </w:rPr>
              <w:t>Indian Health Service</w:t>
            </w:r>
          </w:p>
        </w:tc>
      </w:tr>
      <w:tr w:rsidR="00BD54EA" w:rsidRPr="00BB779E" w14:paraId="14912EC5" w14:textId="77777777" w:rsidTr="00BD54EA">
        <w:tc>
          <w:tcPr>
            <w:tcW w:w="4914"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hideMark/>
          </w:tcPr>
          <w:p w14:paraId="190D2EB4" w14:textId="77777777" w:rsidR="00BD54EA" w:rsidRPr="00B0638B" w:rsidRDefault="00BD54EA" w:rsidP="00BD54EA">
            <w:r>
              <w:t>Telemedicine/telehealth*</w:t>
            </w:r>
          </w:p>
        </w:tc>
        <w:tc>
          <w:tcPr>
            <w:tcW w:w="5156"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29C563C4" w14:textId="77777777" w:rsidR="00BD54EA" w:rsidRPr="00E706E1" w:rsidRDefault="00BD54EA" w:rsidP="00BD54EA">
            <w:r>
              <w:t>VA coverage</w:t>
            </w:r>
          </w:p>
        </w:tc>
      </w:tr>
      <w:tr w:rsidR="00BD54EA" w:rsidRPr="00BB779E" w14:paraId="0F8B705F" w14:textId="77777777" w:rsidTr="00BD54EA">
        <w:tc>
          <w:tcPr>
            <w:tcW w:w="4914"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20BC09DE" w14:textId="77777777" w:rsidR="00BD54EA" w:rsidRPr="00B0638B" w:rsidRDefault="00BD54EA" w:rsidP="00BD54EA"/>
        </w:tc>
        <w:tc>
          <w:tcPr>
            <w:tcW w:w="5156"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tcPr>
          <w:p w14:paraId="68D35C5E" w14:textId="77777777" w:rsidR="00BD54EA" w:rsidRPr="00CB7803" w:rsidRDefault="00BD54EA" w:rsidP="00BD54EA">
            <w:pPr>
              <w:rPr>
                <w:bCs/>
              </w:rPr>
            </w:pPr>
            <w:r w:rsidRPr="00DA36BF">
              <w:rPr>
                <w:rFonts w:cs="Arial"/>
              </w:rPr>
              <w:t>On</w:t>
            </w:r>
            <w:r>
              <w:rPr>
                <w:rFonts w:cs="Arial"/>
              </w:rPr>
              <w:t>-</w:t>
            </w:r>
            <w:r w:rsidRPr="00DA36BF">
              <w:rPr>
                <w:rFonts w:cs="Arial"/>
              </w:rPr>
              <w:t>site clinics</w:t>
            </w:r>
            <w:r>
              <w:rPr>
                <w:rFonts w:cs="Arial"/>
              </w:rPr>
              <w:t xml:space="preserve"> providing significant medical care</w:t>
            </w:r>
            <w:r w:rsidRPr="00DA36BF">
              <w:rPr>
                <w:rFonts w:cs="Arial"/>
              </w:rPr>
              <w:t xml:space="preserve"> if participants are not required to pay fair market value </w:t>
            </w:r>
          </w:p>
        </w:tc>
      </w:tr>
      <w:tr w:rsidR="00BD54EA" w:rsidRPr="00BB779E" w14:paraId="325FE6C5" w14:textId="77777777" w:rsidTr="00880F24">
        <w:tc>
          <w:tcPr>
            <w:tcW w:w="4914"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7362A767" w14:textId="77777777" w:rsidR="00BD54EA" w:rsidRPr="00B0638B" w:rsidRDefault="00BD54EA" w:rsidP="00BD54EA"/>
        </w:tc>
        <w:tc>
          <w:tcPr>
            <w:tcW w:w="5156"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2ABD11C8" w14:textId="77777777" w:rsidR="00BD54EA" w:rsidRPr="00DA36BF" w:rsidRDefault="00BD54EA" w:rsidP="00BD54EA">
            <w:pPr>
              <w:rPr>
                <w:rFonts w:cs="Arial"/>
              </w:rPr>
            </w:pPr>
            <w:r w:rsidRPr="00DA36BF">
              <w:rPr>
                <w:rFonts w:cs="Arial"/>
              </w:rPr>
              <w:t>Executive reimbursement plans (unless limited solely to coverage for annual physicals)</w:t>
            </w:r>
            <w:r w:rsidRPr="00CB55DB">
              <w:rPr>
                <w:bCs/>
              </w:rPr>
              <w:t xml:space="preserve"> </w:t>
            </w:r>
          </w:p>
        </w:tc>
      </w:tr>
      <w:tr w:rsidR="00BD54EA" w:rsidRPr="00BB779E" w14:paraId="1AF60E2C" w14:textId="77777777" w:rsidTr="00880F24">
        <w:tc>
          <w:tcPr>
            <w:tcW w:w="4914"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2424E77D" w14:textId="77777777" w:rsidR="00BD54EA" w:rsidRPr="00B0638B" w:rsidRDefault="00BD54EA" w:rsidP="00BD54EA"/>
        </w:tc>
        <w:tc>
          <w:tcPr>
            <w:tcW w:w="5156" w:type="dxa"/>
            <w:tcBorders>
              <w:top w:val="single" w:sz="8" w:space="0" w:color="FFFFFF"/>
              <w:left w:val="single" w:sz="8" w:space="0" w:color="FFFFFF"/>
              <w:bottom w:val="single" w:sz="8" w:space="0" w:color="FFFFFF"/>
              <w:right w:val="single" w:sz="8" w:space="0" w:color="FFFFFF"/>
            </w:tcBorders>
            <w:shd w:val="clear" w:color="auto" w:fill="D9E2F3"/>
            <w:tcMar>
              <w:top w:w="58" w:type="dxa"/>
              <w:left w:w="144" w:type="dxa"/>
              <w:bottom w:w="0" w:type="dxa"/>
              <w:right w:w="144" w:type="dxa"/>
            </w:tcMar>
            <w:vAlign w:val="center"/>
          </w:tcPr>
          <w:p w14:paraId="36D16AAC" w14:textId="77777777" w:rsidR="00BD54EA" w:rsidRDefault="00BD54EA" w:rsidP="00BD54EA">
            <w:pPr>
              <w:rPr>
                <w:rFonts w:cs="Arial"/>
              </w:rPr>
            </w:pPr>
            <w:r>
              <w:rPr>
                <w:rFonts w:cs="Arial"/>
              </w:rPr>
              <w:t>Direct primary care arrangements**</w:t>
            </w:r>
          </w:p>
        </w:tc>
      </w:tr>
    </w:tbl>
    <w:p w14:paraId="6C8A5E9C" w14:textId="77777777" w:rsidR="00531286" w:rsidRDefault="00531286" w:rsidP="00531286"/>
    <w:p w14:paraId="135C8275" w14:textId="77777777" w:rsidR="00EE6A4D" w:rsidRDefault="00EE6A4D" w:rsidP="00531286"/>
    <w:p w14:paraId="5F0578AD" w14:textId="77777777" w:rsidR="00EE6A4D" w:rsidRDefault="00EE6A4D" w:rsidP="00531286"/>
    <w:p w14:paraId="6FF36B32" w14:textId="77777777" w:rsidR="00EE6A4D" w:rsidRDefault="00EE6A4D" w:rsidP="00531286"/>
    <w:p w14:paraId="68646203" w14:textId="77777777" w:rsidR="00715485" w:rsidRDefault="00715485" w:rsidP="00531286">
      <w:pPr>
        <w:rPr>
          <w:i/>
        </w:rPr>
      </w:pPr>
    </w:p>
    <w:p w14:paraId="6E10E8E0" w14:textId="77777777" w:rsidR="00326D76" w:rsidRDefault="00326D76" w:rsidP="00531286">
      <w:pPr>
        <w:rPr>
          <w:i/>
        </w:rPr>
      </w:pPr>
    </w:p>
    <w:p w14:paraId="19C2C6C6" w14:textId="77777777" w:rsidR="00326D76" w:rsidRDefault="00326D76" w:rsidP="00531286">
      <w:pPr>
        <w:rPr>
          <w:i/>
        </w:rPr>
      </w:pPr>
    </w:p>
    <w:p w14:paraId="605054E6" w14:textId="77777777" w:rsidR="00326D76" w:rsidRDefault="00326D76" w:rsidP="00531286">
      <w:pPr>
        <w:rPr>
          <w:i/>
        </w:rPr>
      </w:pPr>
    </w:p>
    <w:p w14:paraId="04D5D386" w14:textId="77777777" w:rsidR="00326D76" w:rsidRDefault="00326D76" w:rsidP="00531286">
      <w:pPr>
        <w:rPr>
          <w:i/>
        </w:rPr>
      </w:pPr>
    </w:p>
    <w:p w14:paraId="1A207899" w14:textId="77777777" w:rsidR="00326D76" w:rsidRDefault="00326D76" w:rsidP="00531286">
      <w:pPr>
        <w:rPr>
          <w:i/>
        </w:rPr>
      </w:pPr>
    </w:p>
    <w:p w14:paraId="6ABF52E8" w14:textId="77777777" w:rsidR="00326D76" w:rsidRDefault="00326D76" w:rsidP="00531286">
      <w:pPr>
        <w:rPr>
          <w:i/>
        </w:rPr>
      </w:pPr>
    </w:p>
    <w:p w14:paraId="48DC7981" w14:textId="77777777" w:rsidR="00326D76" w:rsidRDefault="00326D76" w:rsidP="00531286">
      <w:pPr>
        <w:rPr>
          <w:i/>
        </w:rPr>
      </w:pPr>
    </w:p>
    <w:p w14:paraId="4D2E20EE" w14:textId="77777777" w:rsidR="00326D76" w:rsidRDefault="00326D76" w:rsidP="00531286">
      <w:pPr>
        <w:rPr>
          <w:i/>
        </w:rPr>
      </w:pPr>
    </w:p>
    <w:p w14:paraId="7DB226D8" w14:textId="77777777" w:rsidR="00326D76" w:rsidRDefault="00326D76" w:rsidP="00531286">
      <w:pPr>
        <w:rPr>
          <w:i/>
        </w:rPr>
      </w:pPr>
    </w:p>
    <w:p w14:paraId="36892B40" w14:textId="77777777" w:rsidR="00326D76" w:rsidRDefault="00326D76" w:rsidP="00531286">
      <w:pPr>
        <w:rPr>
          <w:i/>
        </w:rPr>
      </w:pPr>
    </w:p>
    <w:p w14:paraId="474CF69D" w14:textId="77777777" w:rsidR="00326D76" w:rsidRDefault="00326D76" w:rsidP="00531286">
      <w:pPr>
        <w:rPr>
          <w:i/>
        </w:rPr>
      </w:pPr>
    </w:p>
    <w:p w14:paraId="6E9DBFFF" w14:textId="77777777" w:rsidR="002545CC" w:rsidRDefault="002545CC" w:rsidP="000E7542">
      <w:pPr>
        <w:rPr>
          <w:i/>
        </w:rPr>
      </w:pPr>
    </w:p>
    <w:p w14:paraId="34DB871C" w14:textId="77777777" w:rsidR="002545CC" w:rsidRDefault="002545CC" w:rsidP="000E7542">
      <w:pPr>
        <w:rPr>
          <w:i/>
        </w:rPr>
      </w:pPr>
    </w:p>
    <w:p w14:paraId="64DAFF2F" w14:textId="77777777" w:rsidR="000E7542" w:rsidRDefault="000E7542" w:rsidP="000E7542">
      <w:pPr>
        <w:rPr>
          <w:i/>
        </w:rPr>
      </w:pPr>
      <w:r>
        <w:rPr>
          <w:i/>
        </w:rPr>
        <w:t xml:space="preserve">*In accordance with the CARES Act and IRS Notice 2020-29, for plan years beginning before 2022, </w:t>
      </w:r>
      <w:r w:rsidRPr="000E7542">
        <w:rPr>
          <w:i/>
        </w:rPr>
        <w:t>an otherwise</w:t>
      </w:r>
      <w:r>
        <w:rPr>
          <w:i/>
        </w:rPr>
        <w:t xml:space="preserve"> </w:t>
      </w:r>
      <w:r w:rsidRPr="000E7542">
        <w:rPr>
          <w:i/>
        </w:rPr>
        <w:t>eligible individual with coverage under an HDHP may also receive coverage for</w:t>
      </w:r>
      <w:r>
        <w:rPr>
          <w:i/>
        </w:rPr>
        <w:t xml:space="preserve"> </w:t>
      </w:r>
      <w:r w:rsidRPr="000E7542">
        <w:rPr>
          <w:i/>
        </w:rPr>
        <w:t>telehealth and other remote care services outside the HDHP and before satisfying the</w:t>
      </w:r>
      <w:r>
        <w:rPr>
          <w:i/>
        </w:rPr>
        <w:t xml:space="preserve"> </w:t>
      </w:r>
      <w:r w:rsidRPr="000E7542">
        <w:rPr>
          <w:i/>
        </w:rPr>
        <w:t>deductible of the HDHP and still contribute to an HSA.</w:t>
      </w:r>
      <w:r w:rsidR="005236F6">
        <w:rPr>
          <w:i/>
        </w:rPr>
        <w:t xml:space="preserve"> In addition, </w:t>
      </w:r>
      <w:r w:rsidR="00FE5111">
        <w:rPr>
          <w:i/>
        </w:rPr>
        <w:t>the relief was extended</w:t>
      </w:r>
      <w:r>
        <w:rPr>
          <w:i/>
        </w:rPr>
        <w:t xml:space="preserve"> </w:t>
      </w:r>
      <w:r w:rsidR="00FE5111">
        <w:rPr>
          <w:i/>
        </w:rPr>
        <w:t>by the Consolidated Appropriations Act, 2022 f</w:t>
      </w:r>
      <w:r>
        <w:rPr>
          <w:i/>
        </w:rPr>
        <w:t>or plan years starting in 2022 or later,</w:t>
      </w:r>
      <w:r w:rsidR="00FE5111">
        <w:rPr>
          <w:i/>
        </w:rPr>
        <w:t xml:space="preserve"> but only for April – December 2022. For 2023 and beyond, t</w:t>
      </w:r>
      <w:r>
        <w:rPr>
          <w:i/>
        </w:rPr>
        <w:t>elehealth/telemedicine coverage may make individuals ineligible to contribute to an HSA unless future legislation or agency guidance indicates otherwise.</w:t>
      </w:r>
    </w:p>
    <w:p w14:paraId="407C88E3" w14:textId="77777777" w:rsidR="00CB7803" w:rsidRDefault="00DA36BF" w:rsidP="00A64E99">
      <w:pPr>
        <w:rPr>
          <w:i/>
        </w:rPr>
      </w:pPr>
      <w:r w:rsidRPr="003916B4">
        <w:rPr>
          <w:i/>
        </w:rPr>
        <w:t>**</w:t>
      </w:r>
      <w:r w:rsidR="00CB7803" w:rsidRPr="00CB7803">
        <w:rPr>
          <w:i/>
        </w:rPr>
        <w:t>The IRS released proposed rules in June</w:t>
      </w:r>
      <w:r w:rsidR="00CB7803">
        <w:rPr>
          <w:i/>
        </w:rPr>
        <w:t xml:space="preserve"> 2020</w:t>
      </w:r>
      <w:r w:rsidR="00CB7803" w:rsidRPr="00CB7803">
        <w:rPr>
          <w:i/>
        </w:rPr>
        <w:t xml:space="preserve"> indicating that a direct primary care arrangement that provides for any medical care likely interferes with HSA-eligibility.</w:t>
      </w:r>
    </w:p>
    <w:p w14:paraId="049C4C01" w14:textId="77777777" w:rsidR="002545CC" w:rsidRPr="00326D76" w:rsidRDefault="002545CC" w:rsidP="00A64E99">
      <w:pPr>
        <w:rPr>
          <w:i/>
        </w:rPr>
      </w:pPr>
    </w:p>
    <w:p w14:paraId="7B1C662D" w14:textId="77777777" w:rsidR="00DF0C04" w:rsidRDefault="00DF0C04" w:rsidP="00DF0C04">
      <w:pPr>
        <w:pStyle w:val="Heading3"/>
      </w:pPr>
      <w:r>
        <w:t>Employee Assistance Program (EAP)</w:t>
      </w:r>
      <w:r w:rsidR="000210D7">
        <w:t xml:space="preserve"> or Wellness Program</w:t>
      </w:r>
    </w:p>
    <w:p w14:paraId="0B88C5CF" w14:textId="77777777" w:rsidR="00DF0C04" w:rsidRDefault="00DF0C04" w:rsidP="00B95504">
      <w:pPr>
        <w:spacing w:after="0"/>
      </w:pPr>
      <w:r w:rsidRPr="000210D7">
        <w:t>Most employee assistance programs (EAPs) and wellness programs</w:t>
      </w:r>
      <w:r w:rsidR="000210D7" w:rsidRPr="000210D7">
        <w:t xml:space="preserve"> will not prevent </w:t>
      </w:r>
      <w:r w:rsidR="00B53FF7">
        <w:t>HSA</w:t>
      </w:r>
      <w:r w:rsidR="00326D76">
        <w:t xml:space="preserve"> </w:t>
      </w:r>
      <w:r w:rsidR="00B53FF7">
        <w:t>e</w:t>
      </w:r>
      <w:r w:rsidR="000210D7" w:rsidRPr="000210D7">
        <w:t>ligibility</w:t>
      </w:r>
      <w:r w:rsidRPr="000210D7">
        <w:t xml:space="preserve"> so long as they don’t provide significant benefits in the nature of medical care or treatment. Screening and preventive care are not considered significant medical care.</w:t>
      </w:r>
    </w:p>
    <w:p w14:paraId="19195A9D" w14:textId="77777777" w:rsidR="00DF0C04" w:rsidRPr="00DA36BF" w:rsidRDefault="00DF0C04" w:rsidP="00DF0C04">
      <w:pPr>
        <w:pStyle w:val="Heading3"/>
      </w:pPr>
      <w:r w:rsidRPr="00DA36BF">
        <w:t xml:space="preserve">Indian </w:t>
      </w:r>
      <w:r w:rsidR="00F07AD8">
        <w:t>H</w:t>
      </w:r>
      <w:r w:rsidRPr="00DA36BF">
        <w:t xml:space="preserve">ealth </w:t>
      </w:r>
      <w:r w:rsidR="00F07AD8">
        <w:t>S</w:t>
      </w:r>
      <w:r w:rsidRPr="00DA36BF">
        <w:t>ervice</w:t>
      </w:r>
      <w:r>
        <w:t xml:space="preserve"> (IHS)</w:t>
      </w:r>
    </w:p>
    <w:p w14:paraId="7CB5E64A" w14:textId="77777777" w:rsidR="00DF0C04" w:rsidRPr="007A369D" w:rsidRDefault="00DF0C04" w:rsidP="00DF0C04">
      <w:pPr>
        <w:pStyle w:val="ColorfulList-Accent12"/>
        <w:spacing w:after="0" w:line="240" w:lineRule="auto"/>
        <w:ind w:left="0"/>
        <w:rPr>
          <w:rFonts w:ascii="Arial" w:hAnsi="Arial" w:cs="Arial"/>
          <w:color w:val="252525"/>
        </w:rPr>
      </w:pPr>
      <w:r w:rsidRPr="007A369D">
        <w:rPr>
          <w:rFonts w:ascii="Arial" w:hAnsi="Arial" w:cs="Arial"/>
          <w:color w:val="252525"/>
        </w:rPr>
        <w:t xml:space="preserve">An individual who has received medical services from an IHS facility </w:t>
      </w:r>
      <w:r w:rsidRPr="007A369D">
        <w:rPr>
          <w:rFonts w:ascii="Arial" w:hAnsi="Arial" w:cs="Arial"/>
          <w:color w:val="252525"/>
          <w:u w:val="single"/>
        </w:rPr>
        <w:t>during the previous three months</w:t>
      </w:r>
      <w:r w:rsidRPr="007A369D">
        <w:rPr>
          <w:rFonts w:ascii="Arial" w:hAnsi="Arial" w:cs="Arial"/>
          <w:color w:val="252525"/>
        </w:rPr>
        <w:t xml:space="preserve"> will be ineligible to make HSA contributions unless the medical services qualified as permitted coverage (e.g.</w:t>
      </w:r>
      <w:r w:rsidR="00F07AD8">
        <w:rPr>
          <w:rFonts w:ascii="Arial" w:hAnsi="Arial" w:cs="Arial"/>
          <w:color w:val="252525"/>
        </w:rPr>
        <w:t>,</w:t>
      </w:r>
      <w:r w:rsidRPr="007A369D">
        <w:rPr>
          <w:rFonts w:ascii="Arial" w:hAnsi="Arial" w:cs="Arial"/>
          <w:color w:val="252525"/>
        </w:rPr>
        <w:t xml:space="preserve"> dental and vision care) or preventive care (e.g.</w:t>
      </w:r>
      <w:r w:rsidR="00F07AD8">
        <w:rPr>
          <w:rFonts w:ascii="Arial" w:hAnsi="Arial" w:cs="Arial"/>
          <w:color w:val="252525"/>
        </w:rPr>
        <w:t>,</w:t>
      </w:r>
      <w:r w:rsidRPr="007A369D">
        <w:rPr>
          <w:rFonts w:ascii="Arial" w:hAnsi="Arial" w:cs="Arial"/>
          <w:color w:val="252525"/>
        </w:rPr>
        <w:t xml:space="preserve"> well-baby visits and immunizations). If an individual has not received disqualifying services in the previous three months, the individual will be HSA</w:t>
      </w:r>
      <w:r w:rsidR="00F07AD8">
        <w:rPr>
          <w:rFonts w:ascii="Arial" w:hAnsi="Arial" w:cs="Arial"/>
          <w:color w:val="252525"/>
        </w:rPr>
        <w:t xml:space="preserve"> </w:t>
      </w:r>
      <w:r w:rsidRPr="007A369D">
        <w:rPr>
          <w:rFonts w:ascii="Arial" w:hAnsi="Arial" w:cs="Arial"/>
          <w:color w:val="252525"/>
        </w:rPr>
        <w:t xml:space="preserve">eligible. </w:t>
      </w:r>
      <w:r w:rsidRPr="007A369D">
        <w:rPr>
          <w:rFonts w:ascii="Arial" w:hAnsi="Arial" w:cs="Arial"/>
        </w:rPr>
        <w:t xml:space="preserve">So, for example, if </w:t>
      </w:r>
      <w:r w:rsidR="00B95504" w:rsidRPr="007A369D">
        <w:rPr>
          <w:rFonts w:ascii="Arial" w:hAnsi="Arial" w:cs="Arial"/>
        </w:rPr>
        <w:t>an</w:t>
      </w:r>
      <w:r w:rsidRPr="007A369D">
        <w:rPr>
          <w:rFonts w:ascii="Arial" w:hAnsi="Arial" w:cs="Arial"/>
        </w:rPr>
        <w:t xml:space="preserve"> individual is enrolled in a qualifying HDHP </w:t>
      </w:r>
      <w:r w:rsidR="00B95504" w:rsidRPr="007A369D">
        <w:rPr>
          <w:rFonts w:ascii="Arial" w:hAnsi="Arial" w:cs="Arial"/>
        </w:rPr>
        <w:t xml:space="preserve">for </w:t>
      </w:r>
      <w:r w:rsidRPr="007A369D">
        <w:rPr>
          <w:rFonts w:ascii="Arial" w:hAnsi="Arial" w:cs="Arial"/>
        </w:rPr>
        <w:t>all of 20</w:t>
      </w:r>
      <w:r w:rsidR="002E7034">
        <w:rPr>
          <w:rFonts w:ascii="Arial" w:hAnsi="Arial" w:cs="Arial"/>
        </w:rPr>
        <w:t>2</w:t>
      </w:r>
      <w:r w:rsidR="00A43CCE">
        <w:rPr>
          <w:rFonts w:ascii="Arial" w:hAnsi="Arial" w:cs="Arial"/>
        </w:rPr>
        <w:t>3</w:t>
      </w:r>
      <w:r w:rsidRPr="007A369D">
        <w:rPr>
          <w:rFonts w:ascii="Arial" w:hAnsi="Arial" w:cs="Arial"/>
        </w:rPr>
        <w:t xml:space="preserve">, but used </w:t>
      </w:r>
      <w:r w:rsidR="00B95504" w:rsidRPr="007A369D">
        <w:rPr>
          <w:rFonts w:ascii="Arial" w:hAnsi="Arial" w:cs="Arial"/>
        </w:rPr>
        <w:t>IHS</w:t>
      </w:r>
      <w:r w:rsidRPr="007A369D">
        <w:rPr>
          <w:rFonts w:ascii="Arial" w:hAnsi="Arial" w:cs="Arial"/>
        </w:rPr>
        <w:t xml:space="preserve"> services </w:t>
      </w:r>
      <w:r w:rsidR="000210D7" w:rsidRPr="007A369D">
        <w:rPr>
          <w:rFonts w:ascii="Arial" w:hAnsi="Arial" w:cs="Arial"/>
        </w:rPr>
        <w:t>in</w:t>
      </w:r>
      <w:r w:rsidRPr="007A369D">
        <w:rPr>
          <w:rFonts w:ascii="Arial" w:hAnsi="Arial" w:cs="Arial"/>
        </w:rPr>
        <w:t xml:space="preserve"> </w:t>
      </w:r>
      <w:r w:rsidR="000210D7" w:rsidRPr="007A369D">
        <w:rPr>
          <w:rFonts w:ascii="Arial" w:hAnsi="Arial" w:cs="Arial"/>
        </w:rPr>
        <w:t>mid-</w:t>
      </w:r>
      <w:r w:rsidR="00B95504" w:rsidRPr="007A369D">
        <w:rPr>
          <w:rFonts w:ascii="Arial" w:hAnsi="Arial" w:cs="Arial"/>
        </w:rPr>
        <w:t>April</w:t>
      </w:r>
      <w:r w:rsidRPr="007A369D">
        <w:rPr>
          <w:rFonts w:ascii="Arial" w:hAnsi="Arial" w:cs="Arial"/>
        </w:rPr>
        <w:t xml:space="preserve"> 20</w:t>
      </w:r>
      <w:r w:rsidR="002E7034">
        <w:rPr>
          <w:rFonts w:ascii="Arial" w:hAnsi="Arial" w:cs="Arial"/>
        </w:rPr>
        <w:t>2</w:t>
      </w:r>
      <w:r w:rsidR="00A43CCE">
        <w:rPr>
          <w:rFonts w:ascii="Arial" w:hAnsi="Arial" w:cs="Arial"/>
        </w:rPr>
        <w:t>3</w:t>
      </w:r>
      <w:r w:rsidRPr="007A369D">
        <w:rPr>
          <w:rFonts w:ascii="Arial" w:hAnsi="Arial" w:cs="Arial"/>
        </w:rPr>
        <w:t xml:space="preserve"> (causing HSA</w:t>
      </w:r>
      <w:r w:rsidR="00F07AD8">
        <w:rPr>
          <w:rFonts w:ascii="Arial" w:hAnsi="Arial" w:cs="Arial"/>
        </w:rPr>
        <w:t xml:space="preserve"> </w:t>
      </w:r>
      <w:r w:rsidRPr="007A369D">
        <w:rPr>
          <w:rFonts w:ascii="Arial" w:hAnsi="Arial" w:cs="Arial"/>
        </w:rPr>
        <w:t xml:space="preserve">ineligibility for </w:t>
      </w:r>
      <w:r w:rsidR="000210D7" w:rsidRPr="007A369D">
        <w:rPr>
          <w:rFonts w:ascii="Arial" w:hAnsi="Arial" w:cs="Arial"/>
        </w:rPr>
        <w:t>May, June</w:t>
      </w:r>
      <w:r w:rsidR="00F07AD8">
        <w:rPr>
          <w:rFonts w:ascii="Arial" w:hAnsi="Arial" w:cs="Arial"/>
        </w:rPr>
        <w:t>,</w:t>
      </w:r>
      <w:r w:rsidR="000210D7" w:rsidRPr="007A369D">
        <w:rPr>
          <w:rFonts w:ascii="Arial" w:hAnsi="Arial" w:cs="Arial"/>
        </w:rPr>
        <w:t xml:space="preserve"> and </w:t>
      </w:r>
      <w:r w:rsidR="00B95504" w:rsidRPr="007A369D">
        <w:rPr>
          <w:rFonts w:ascii="Arial" w:hAnsi="Arial" w:cs="Arial"/>
        </w:rPr>
        <w:t>July</w:t>
      </w:r>
      <w:r w:rsidRPr="007A369D">
        <w:rPr>
          <w:rFonts w:ascii="Arial" w:hAnsi="Arial" w:cs="Arial"/>
        </w:rPr>
        <w:t xml:space="preserve"> 20</w:t>
      </w:r>
      <w:r w:rsidR="002E7034">
        <w:rPr>
          <w:rFonts w:ascii="Arial" w:hAnsi="Arial" w:cs="Arial"/>
        </w:rPr>
        <w:t>2</w:t>
      </w:r>
      <w:r w:rsidR="00A43CCE">
        <w:rPr>
          <w:rFonts w:ascii="Arial" w:hAnsi="Arial" w:cs="Arial"/>
        </w:rPr>
        <w:t>3</w:t>
      </w:r>
      <w:r w:rsidRPr="007A369D">
        <w:rPr>
          <w:rFonts w:ascii="Arial" w:hAnsi="Arial" w:cs="Arial"/>
        </w:rPr>
        <w:t>) and therefore was eligible to contribute to an HSA nine months out of the year, the individual could contribute 9/12 of the annual maximum contribution amount for 20</w:t>
      </w:r>
      <w:r w:rsidR="002E7034">
        <w:rPr>
          <w:rFonts w:ascii="Arial" w:hAnsi="Arial" w:cs="Arial"/>
        </w:rPr>
        <w:t>2</w:t>
      </w:r>
      <w:r w:rsidR="00A43CCE">
        <w:rPr>
          <w:rFonts w:ascii="Arial" w:hAnsi="Arial" w:cs="Arial"/>
        </w:rPr>
        <w:t>3</w:t>
      </w:r>
      <w:r w:rsidRPr="007A369D">
        <w:rPr>
          <w:rFonts w:ascii="Arial" w:hAnsi="Arial" w:cs="Arial"/>
        </w:rPr>
        <w:t>. </w:t>
      </w:r>
      <w:r w:rsidRPr="007A369D">
        <w:rPr>
          <w:rStyle w:val="apple-converted-space"/>
          <w:rFonts w:ascii="Arial" w:hAnsi="Arial" w:cs="Arial"/>
          <w:color w:val="252525"/>
        </w:rPr>
        <w:t> </w:t>
      </w:r>
    </w:p>
    <w:p w14:paraId="695099FE" w14:textId="77777777" w:rsidR="00DF0C04" w:rsidRPr="00DA36BF" w:rsidRDefault="00DF0C04" w:rsidP="00DF0C04">
      <w:pPr>
        <w:pStyle w:val="Heading3"/>
      </w:pPr>
      <w:r w:rsidRPr="00DA36BF">
        <w:t>Veterans Affairs (VA) coverage</w:t>
      </w:r>
    </w:p>
    <w:p w14:paraId="5430A1E1" w14:textId="77777777" w:rsidR="00DF0C04" w:rsidRPr="00C64B1A" w:rsidRDefault="00DF0C04" w:rsidP="00C64B1A">
      <w:pPr>
        <w:pStyle w:val="ColorfulList-Accent12"/>
        <w:spacing w:after="0" w:line="240" w:lineRule="auto"/>
        <w:ind w:left="0"/>
        <w:rPr>
          <w:rFonts w:ascii="Arial" w:hAnsi="Arial" w:cs="Arial"/>
        </w:rPr>
      </w:pPr>
      <w:r w:rsidRPr="00DA36BF">
        <w:rPr>
          <w:rFonts w:ascii="Arial" w:hAnsi="Arial" w:cs="Arial"/>
        </w:rPr>
        <w:t xml:space="preserve">An individual with a disability rating from the VA may make HSA contributions, regardless of whether VA medical benefits have been received. However, individuals who don’t have a disability rating from the VA are ineligible to contribute to an HSA </w:t>
      </w:r>
      <w:r w:rsidR="0062410C" w:rsidRPr="00DA36BF">
        <w:rPr>
          <w:rFonts w:ascii="Arial" w:hAnsi="Arial" w:cs="Arial"/>
        </w:rPr>
        <w:t>if medical</w:t>
      </w:r>
      <w:r w:rsidRPr="00DA36BF">
        <w:rPr>
          <w:rFonts w:ascii="Arial" w:hAnsi="Arial" w:cs="Arial"/>
        </w:rPr>
        <w:t xml:space="preserve"> benefits have been received from the VA </w:t>
      </w:r>
      <w:r w:rsidRPr="00DF0C04">
        <w:rPr>
          <w:rFonts w:ascii="Arial" w:hAnsi="Arial" w:cs="Arial"/>
          <w:u w:val="single"/>
        </w:rPr>
        <w:t>during the previous three months</w:t>
      </w:r>
      <w:r w:rsidRPr="00DA36BF">
        <w:rPr>
          <w:rFonts w:ascii="Arial" w:hAnsi="Arial" w:cs="Arial"/>
        </w:rPr>
        <w:t>.</w:t>
      </w:r>
      <w:r>
        <w:rPr>
          <w:rFonts w:ascii="Arial" w:hAnsi="Arial" w:cs="Arial"/>
        </w:rPr>
        <w:t xml:space="preserve"> </w:t>
      </w:r>
      <w:r w:rsidRPr="00DA36BF">
        <w:rPr>
          <w:rFonts w:ascii="Arial" w:hAnsi="Arial" w:cs="Arial"/>
          <w:color w:val="252525"/>
        </w:rPr>
        <w:t>If an individual has not received disqualifying services in the previous three months, the individual will be HSA</w:t>
      </w:r>
      <w:r w:rsidR="00F07AD8">
        <w:rPr>
          <w:rFonts w:ascii="Arial" w:hAnsi="Arial" w:cs="Arial"/>
          <w:color w:val="252525"/>
        </w:rPr>
        <w:t xml:space="preserve"> </w:t>
      </w:r>
      <w:r w:rsidRPr="00C64B1A">
        <w:rPr>
          <w:rFonts w:ascii="Arial" w:hAnsi="Arial" w:cs="Arial"/>
          <w:color w:val="252525"/>
        </w:rPr>
        <w:t>eligible.</w:t>
      </w:r>
      <w:r w:rsidRPr="00C64B1A">
        <w:rPr>
          <w:rStyle w:val="apple-converted-space"/>
          <w:rFonts w:ascii="Arial" w:hAnsi="Arial" w:cs="Arial"/>
          <w:color w:val="252525"/>
        </w:rPr>
        <w:t> </w:t>
      </w:r>
      <w:r w:rsidR="00B95504" w:rsidRPr="00C64B1A">
        <w:rPr>
          <w:rFonts w:ascii="Arial" w:hAnsi="Arial" w:cs="Arial"/>
        </w:rPr>
        <w:t>So, for example, if the individual without a disability rating is enrolled in a qualifying HDHP for all of 20</w:t>
      </w:r>
      <w:r w:rsidR="002E7034">
        <w:rPr>
          <w:rFonts w:ascii="Arial" w:hAnsi="Arial" w:cs="Arial"/>
        </w:rPr>
        <w:t>2</w:t>
      </w:r>
      <w:r w:rsidR="00A43CCE">
        <w:rPr>
          <w:rFonts w:ascii="Arial" w:hAnsi="Arial" w:cs="Arial"/>
        </w:rPr>
        <w:t>3</w:t>
      </w:r>
      <w:r w:rsidR="00B95504" w:rsidRPr="00C64B1A">
        <w:rPr>
          <w:rFonts w:ascii="Arial" w:hAnsi="Arial" w:cs="Arial"/>
        </w:rPr>
        <w:t xml:space="preserve">, but used VA services once </w:t>
      </w:r>
      <w:r w:rsidR="00C64B1A" w:rsidRPr="00C64B1A">
        <w:rPr>
          <w:rFonts w:ascii="Arial" w:hAnsi="Arial" w:cs="Arial"/>
        </w:rPr>
        <w:t>in mid-</w:t>
      </w:r>
      <w:r w:rsidR="00B95504" w:rsidRPr="00C64B1A">
        <w:rPr>
          <w:rFonts w:ascii="Arial" w:hAnsi="Arial" w:cs="Arial"/>
        </w:rPr>
        <w:t>January 20</w:t>
      </w:r>
      <w:r w:rsidR="002E7034">
        <w:rPr>
          <w:rFonts w:ascii="Arial" w:hAnsi="Arial" w:cs="Arial"/>
        </w:rPr>
        <w:t>2</w:t>
      </w:r>
      <w:r w:rsidR="00A43CCE">
        <w:rPr>
          <w:rFonts w:ascii="Arial" w:hAnsi="Arial" w:cs="Arial"/>
        </w:rPr>
        <w:t>3</w:t>
      </w:r>
      <w:r w:rsidR="00B95504" w:rsidRPr="00C64B1A">
        <w:rPr>
          <w:rFonts w:ascii="Arial" w:hAnsi="Arial" w:cs="Arial"/>
        </w:rPr>
        <w:t xml:space="preserve"> (causing HSA</w:t>
      </w:r>
      <w:r w:rsidR="00F07AD8">
        <w:rPr>
          <w:rFonts w:ascii="Arial" w:hAnsi="Arial" w:cs="Arial"/>
        </w:rPr>
        <w:t xml:space="preserve"> </w:t>
      </w:r>
      <w:r w:rsidR="00B95504" w:rsidRPr="00C64B1A">
        <w:rPr>
          <w:rFonts w:ascii="Arial" w:hAnsi="Arial" w:cs="Arial"/>
        </w:rPr>
        <w:t xml:space="preserve">ineligibility for </w:t>
      </w:r>
      <w:r w:rsidR="00C64B1A" w:rsidRPr="00C64B1A">
        <w:rPr>
          <w:rFonts w:ascii="Arial" w:hAnsi="Arial" w:cs="Arial"/>
        </w:rPr>
        <w:t>February, March</w:t>
      </w:r>
      <w:r w:rsidR="00F07AD8">
        <w:rPr>
          <w:rFonts w:ascii="Arial" w:hAnsi="Arial" w:cs="Arial"/>
        </w:rPr>
        <w:t>,</w:t>
      </w:r>
      <w:r w:rsidR="00C64B1A" w:rsidRPr="00C64B1A">
        <w:rPr>
          <w:rFonts w:ascii="Arial" w:hAnsi="Arial" w:cs="Arial"/>
        </w:rPr>
        <w:t xml:space="preserve"> and April</w:t>
      </w:r>
      <w:r w:rsidR="00B95504" w:rsidRPr="00C64B1A">
        <w:rPr>
          <w:rFonts w:ascii="Arial" w:hAnsi="Arial" w:cs="Arial"/>
        </w:rPr>
        <w:t xml:space="preserve"> 20</w:t>
      </w:r>
      <w:r w:rsidR="002E7034">
        <w:rPr>
          <w:rFonts w:ascii="Arial" w:hAnsi="Arial" w:cs="Arial"/>
        </w:rPr>
        <w:t>2</w:t>
      </w:r>
      <w:r w:rsidR="00A43CCE">
        <w:rPr>
          <w:rFonts w:ascii="Arial" w:hAnsi="Arial" w:cs="Arial"/>
        </w:rPr>
        <w:t>3</w:t>
      </w:r>
      <w:r w:rsidR="00B95504" w:rsidRPr="00C64B1A">
        <w:rPr>
          <w:rFonts w:ascii="Arial" w:hAnsi="Arial" w:cs="Arial"/>
        </w:rPr>
        <w:t>) and therefore was eligible to contribute to an HSA nine months out of the year, the individual could contribute 9/12 of the annual maximum contribution amount for 20</w:t>
      </w:r>
      <w:r w:rsidR="002E7034">
        <w:rPr>
          <w:rFonts w:ascii="Arial" w:hAnsi="Arial" w:cs="Arial"/>
        </w:rPr>
        <w:t>2</w:t>
      </w:r>
      <w:r w:rsidR="00A43CCE">
        <w:rPr>
          <w:rFonts w:ascii="Arial" w:hAnsi="Arial" w:cs="Arial"/>
        </w:rPr>
        <w:t>3</w:t>
      </w:r>
      <w:r w:rsidR="00B95504" w:rsidRPr="00C64B1A">
        <w:rPr>
          <w:rFonts w:ascii="Arial" w:hAnsi="Arial" w:cs="Arial"/>
        </w:rPr>
        <w:t>. </w:t>
      </w:r>
    </w:p>
    <w:p w14:paraId="68BF1133" w14:textId="77777777" w:rsidR="00DA36BF" w:rsidRPr="00194647" w:rsidRDefault="00B95504" w:rsidP="00B95504">
      <w:pPr>
        <w:pStyle w:val="Heading3"/>
      </w:pPr>
      <w:r>
        <w:t xml:space="preserve">Health Flexible Spending </w:t>
      </w:r>
      <w:r w:rsidR="009131B7">
        <w:t xml:space="preserve">Arrangement </w:t>
      </w:r>
      <w:r>
        <w:t>(FSA)</w:t>
      </w:r>
    </w:p>
    <w:p w14:paraId="0503B0EA" w14:textId="77777777" w:rsidR="00DA36BF" w:rsidRDefault="00DA36BF" w:rsidP="00DA36BF">
      <w:pPr>
        <w:spacing w:after="0"/>
      </w:pPr>
      <w:bookmarkStart w:id="7" w:name="_Hlk482189687"/>
      <w:r w:rsidRPr="00194647">
        <w:t>Participation in a general-purpose health FSA disqualifies an individ</w:t>
      </w:r>
      <w:r>
        <w:t xml:space="preserve">ual from contributing to an HSA. </w:t>
      </w:r>
      <w:r w:rsidR="00487561">
        <w:t>A</w:t>
      </w:r>
      <w:r w:rsidR="007A369D">
        <w:t xml:space="preserve"> health FSA is typically available to reimburse expenses of the employee, spouse</w:t>
      </w:r>
      <w:r w:rsidR="00E96869">
        <w:t>,</w:t>
      </w:r>
      <w:r w:rsidR="007A369D">
        <w:t xml:space="preserve"> and tax dependents, and therefore</w:t>
      </w:r>
      <w:r w:rsidR="00487561">
        <w:t xml:space="preserve">, in contrast to the general rule that a spouse’s disqualifying coverage doesn’t </w:t>
      </w:r>
      <w:r w:rsidR="00AD453E">
        <w:t>affect</w:t>
      </w:r>
      <w:r w:rsidR="00487561">
        <w:t xml:space="preserve"> an individual's HSA eligibility, </w:t>
      </w:r>
      <w:r w:rsidR="007A369D">
        <w:t xml:space="preserve">a spouse’s participation in a general-purposes health FSA will </w:t>
      </w:r>
      <w:r w:rsidR="00487561">
        <w:t xml:space="preserve">cause both spouses to be ineligible to contribute to an </w:t>
      </w:r>
      <w:bookmarkEnd w:id="7"/>
      <w:r w:rsidR="00487561">
        <w:t>HSA</w:t>
      </w:r>
      <w:r>
        <w:t>. </w:t>
      </w:r>
    </w:p>
    <w:p w14:paraId="79A6BD3F" w14:textId="77777777" w:rsidR="00DA36BF" w:rsidRPr="00194647" w:rsidRDefault="00DA36BF" w:rsidP="00DA36BF">
      <w:pPr>
        <w:spacing w:after="0"/>
      </w:pPr>
      <w:r>
        <w:t xml:space="preserve"> </w:t>
      </w:r>
    </w:p>
    <w:p w14:paraId="0CB71B97" w14:textId="77777777" w:rsidR="00DA36BF" w:rsidRDefault="00DA36BF" w:rsidP="00DA36BF">
      <w:pPr>
        <w:spacing w:after="0"/>
      </w:pPr>
      <w:bookmarkStart w:id="8" w:name="_Hlk482189702"/>
      <w:r w:rsidRPr="00194647">
        <w:t>Employees who participate in a health FSA will not be eligible to contribute to an HSA until the end of the health FSA plan year, regardless of whether the health FSA funds have been used or exhausted</w:t>
      </w:r>
      <w:r>
        <w:t xml:space="preserve"> prior to the end of the plan year. </w:t>
      </w:r>
      <w:r w:rsidRPr="00194647">
        <w:t>Grace</w:t>
      </w:r>
      <w:r w:rsidR="00AD453E">
        <w:t>-</w:t>
      </w:r>
      <w:r w:rsidRPr="00194647">
        <w:t xml:space="preserve">period or carryover provisions may </w:t>
      </w:r>
      <w:r>
        <w:t xml:space="preserve">further </w:t>
      </w:r>
      <w:r w:rsidRPr="00194647">
        <w:t>extend ineligibility if funds roll</w:t>
      </w:r>
      <w:r w:rsidR="00AD453E">
        <w:t xml:space="preserve"> </w:t>
      </w:r>
      <w:r w:rsidRPr="00194647">
        <w:t>over into the new plan year.   </w:t>
      </w:r>
      <w:bookmarkEnd w:id="8"/>
    </w:p>
    <w:p w14:paraId="67AA3383" w14:textId="77777777" w:rsidR="00B95504" w:rsidRPr="00194647" w:rsidRDefault="00B95504" w:rsidP="00DA36BF">
      <w:pPr>
        <w:spacing w:after="0"/>
      </w:pPr>
    </w:p>
    <w:p w14:paraId="0787299F" w14:textId="77777777" w:rsidR="00DA36BF" w:rsidRPr="00194647" w:rsidRDefault="00DA36BF" w:rsidP="00676C04">
      <w:pPr>
        <w:numPr>
          <w:ilvl w:val="0"/>
          <w:numId w:val="6"/>
        </w:numPr>
        <w:spacing w:after="0"/>
      </w:pPr>
      <w:r>
        <w:t>Health FSA with a Grace Period:</w:t>
      </w:r>
    </w:p>
    <w:p w14:paraId="675463FE" w14:textId="77777777" w:rsidR="00DA36BF" w:rsidRPr="00194647" w:rsidRDefault="00DA36BF" w:rsidP="00676C04">
      <w:pPr>
        <w:numPr>
          <w:ilvl w:val="1"/>
          <w:numId w:val="6"/>
        </w:numPr>
        <w:spacing w:after="0"/>
      </w:pPr>
      <w:r w:rsidRPr="00194647">
        <w:t xml:space="preserve">If </w:t>
      </w:r>
      <w:r>
        <w:t xml:space="preserve">the </w:t>
      </w:r>
      <w:r w:rsidRPr="00194647">
        <w:t xml:space="preserve">participant has a zero balance at the end of the plan year, the individual is eligible to contribute to the HSA </w:t>
      </w:r>
      <w:r>
        <w:t>following the end of the health FSA plan year.</w:t>
      </w:r>
    </w:p>
    <w:p w14:paraId="2B8D000F" w14:textId="77777777" w:rsidR="00DA36BF" w:rsidRPr="001D5518" w:rsidRDefault="00DA36BF" w:rsidP="00676C04">
      <w:pPr>
        <w:numPr>
          <w:ilvl w:val="1"/>
          <w:numId w:val="6"/>
        </w:numPr>
        <w:spacing w:after="0"/>
      </w:pPr>
      <w:r w:rsidRPr="00194647">
        <w:t xml:space="preserve">If </w:t>
      </w:r>
      <w:r>
        <w:t xml:space="preserve">the </w:t>
      </w:r>
      <w:r w:rsidRPr="00194647">
        <w:t>participant has an unused year-end balance, the grace period extends the participant</w:t>
      </w:r>
      <w:r w:rsidR="00AD453E">
        <w:t>’</w:t>
      </w:r>
      <w:r w:rsidRPr="00194647">
        <w:t>s period of HSA ineligibility through the end of the grace period</w:t>
      </w:r>
      <w:r w:rsidR="00B95504">
        <w:t xml:space="preserve"> (typically 2½ months)</w:t>
      </w:r>
      <w:r>
        <w:t>, unless t</w:t>
      </w:r>
      <w:r w:rsidRPr="001D5518">
        <w:t>he employer makes the grace period limited-purpose. If this is done, it must be applied on a uniform basis for all</w:t>
      </w:r>
      <w:r w:rsidR="00B95504">
        <w:t xml:space="preserve"> participants</w:t>
      </w:r>
      <w:r w:rsidRPr="001D5518">
        <w:t xml:space="preserve"> (i.e.</w:t>
      </w:r>
      <w:r w:rsidR="00AD453E">
        <w:t>,</w:t>
      </w:r>
      <w:r w:rsidRPr="001D5518">
        <w:t xml:space="preserve"> participants could not be given a choice between a limited-purpose or general-purpose</w:t>
      </w:r>
      <w:r w:rsidR="00C40FB9">
        <w:t xml:space="preserve"> grace period</w:t>
      </w:r>
      <w:r w:rsidRPr="001D5518">
        <w:t xml:space="preserve">). </w:t>
      </w:r>
    </w:p>
    <w:p w14:paraId="5B4811CB" w14:textId="77777777" w:rsidR="00DA36BF" w:rsidRPr="00194647" w:rsidRDefault="00DA36BF" w:rsidP="00DA36BF">
      <w:pPr>
        <w:spacing w:after="0"/>
        <w:ind w:left="2880"/>
      </w:pPr>
    </w:p>
    <w:p w14:paraId="76DF8A7C" w14:textId="77777777" w:rsidR="00DA36BF" w:rsidRPr="00194647" w:rsidRDefault="00DA36BF" w:rsidP="00676C04">
      <w:pPr>
        <w:numPr>
          <w:ilvl w:val="0"/>
          <w:numId w:val="6"/>
        </w:numPr>
        <w:spacing w:after="0"/>
      </w:pPr>
      <w:r>
        <w:t>Health FSA with a C</w:t>
      </w:r>
      <w:r w:rsidRPr="00194647">
        <w:t>arryover</w:t>
      </w:r>
      <w:r>
        <w:t xml:space="preserve"> (up to $5</w:t>
      </w:r>
      <w:r w:rsidR="00FE5111">
        <w:t>7</w:t>
      </w:r>
      <w:r>
        <w:t>0</w:t>
      </w:r>
      <w:r w:rsidR="00D00FCE">
        <w:t xml:space="preserve"> in 2022</w:t>
      </w:r>
      <w:r>
        <w:t>):</w:t>
      </w:r>
    </w:p>
    <w:p w14:paraId="78D0ACE8" w14:textId="77777777" w:rsidR="00DA36BF" w:rsidRDefault="00DA36BF" w:rsidP="00676C04">
      <w:pPr>
        <w:numPr>
          <w:ilvl w:val="1"/>
          <w:numId w:val="6"/>
        </w:numPr>
        <w:spacing w:after="0"/>
      </w:pPr>
      <w:r>
        <w:t xml:space="preserve">If the participant has a zero balance </w:t>
      </w:r>
      <w:r w:rsidRPr="00194647">
        <w:t xml:space="preserve">at the end of the plan year, the individual is eligible to contribute to the HSA </w:t>
      </w:r>
      <w:r>
        <w:t>following the end of the health FSA plan year.</w:t>
      </w:r>
    </w:p>
    <w:p w14:paraId="788635D7" w14:textId="77777777" w:rsidR="00DA36BF" w:rsidRPr="00B95504" w:rsidRDefault="00DA36BF" w:rsidP="00676C04">
      <w:pPr>
        <w:numPr>
          <w:ilvl w:val="1"/>
          <w:numId w:val="6"/>
        </w:numPr>
        <w:spacing w:after="0"/>
      </w:pPr>
      <w:r w:rsidRPr="00B95504">
        <w:t>If the participant has an unused year-end balance, the individual is ineligible for HSA contributions for the entire next health FSA plan year (because the $5</w:t>
      </w:r>
      <w:r w:rsidR="00FE5111">
        <w:t>7</w:t>
      </w:r>
      <w:r w:rsidRPr="00B95504">
        <w:t>0 can be used any time during the year), unless the employer allows participants to waive the carryover or make the carryover limited</w:t>
      </w:r>
      <w:r w:rsidR="00B95504" w:rsidRPr="00B95504">
        <w:t>-</w:t>
      </w:r>
      <w:r w:rsidRPr="00B95504">
        <w:t>purpose. </w:t>
      </w:r>
      <w:r w:rsidR="00B95504" w:rsidRPr="00B95504">
        <w:t>Unlike the grace period, the employer is allowed to design the carryover to be converted to limited-purpose for those who enroll in the HDHP and remain general-purpose for the other participants.</w:t>
      </w:r>
    </w:p>
    <w:p w14:paraId="4FCC7928" w14:textId="77777777" w:rsidR="00DA36BF" w:rsidRPr="001D5518" w:rsidRDefault="00DA36BF" w:rsidP="00DA36BF">
      <w:pPr>
        <w:rPr>
          <w:highlight w:val="yellow"/>
        </w:rPr>
      </w:pPr>
    </w:p>
    <w:p w14:paraId="7250DDB4" w14:textId="77777777" w:rsidR="00B95504" w:rsidRDefault="00DA36BF" w:rsidP="00DA36BF">
      <w:pPr>
        <w:rPr>
          <w:rStyle w:val="Hyperlink"/>
        </w:rPr>
      </w:pPr>
      <w:r w:rsidRPr="00B95504">
        <w:t>Additional information may be found in IRS Chief Counsel Advice 201413005 (Feb. 12, 2014)</w:t>
      </w:r>
      <w:r w:rsidR="00B95504">
        <w:t xml:space="preserve"> </w:t>
      </w:r>
      <w:r w:rsidR="00AD453E">
        <w:t>–</w:t>
      </w:r>
      <w:r w:rsidR="00B95504">
        <w:t xml:space="preserve"> </w:t>
      </w:r>
      <w:hyperlink r:id="rId13" w:history="1">
        <w:r w:rsidR="00B95504" w:rsidRPr="0086533C">
          <w:rPr>
            <w:rStyle w:val="Hyperlink"/>
          </w:rPr>
          <w:t>https://www.irs.gov/pub/irs-wd/1413005.pdf</w:t>
        </w:r>
      </w:hyperlink>
      <w:r w:rsidR="00B95504">
        <w:rPr>
          <w:rStyle w:val="Hyperlink"/>
        </w:rPr>
        <w:t>.</w:t>
      </w:r>
    </w:p>
    <w:p w14:paraId="23562AFE" w14:textId="77777777" w:rsidR="001075C2" w:rsidRDefault="001075C2" w:rsidP="00DA36BF">
      <w:pPr>
        <w:rPr>
          <w:rStyle w:val="Hyperlink"/>
        </w:rPr>
      </w:pPr>
    </w:p>
    <w:p w14:paraId="3BBC1BA1" w14:textId="77777777" w:rsidR="00C71BBE" w:rsidRPr="002545CC" w:rsidRDefault="001075C2" w:rsidP="00DA36BF">
      <w:pPr>
        <w:rPr>
          <w:rStyle w:val="Hyperlink"/>
          <w:color w:val="auto"/>
        </w:rPr>
      </w:pPr>
      <w:r w:rsidRPr="002545CC">
        <w:rPr>
          <w:rStyle w:val="Hyperlink"/>
          <w:color w:val="auto"/>
        </w:rPr>
        <w:t xml:space="preserve">General-Purpose </w:t>
      </w:r>
      <w:r w:rsidR="00BD54EA" w:rsidRPr="002545CC">
        <w:rPr>
          <w:rStyle w:val="Hyperlink"/>
          <w:color w:val="auto"/>
        </w:rPr>
        <w:t xml:space="preserve">or Excepted Benefit </w:t>
      </w:r>
      <w:r w:rsidR="00BE4FA3" w:rsidRPr="002545CC">
        <w:rPr>
          <w:rStyle w:val="Hyperlink"/>
          <w:color w:val="auto"/>
        </w:rPr>
        <w:t>Health Reimbursement Arrangement (</w:t>
      </w:r>
      <w:r w:rsidRPr="002545CC">
        <w:rPr>
          <w:rStyle w:val="Hyperlink"/>
          <w:color w:val="auto"/>
        </w:rPr>
        <w:t>HRA</w:t>
      </w:r>
      <w:r w:rsidR="00BE4FA3" w:rsidRPr="002545CC">
        <w:rPr>
          <w:rStyle w:val="Hyperlink"/>
          <w:color w:val="auto"/>
        </w:rPr>
        <w:t>)</w:t>
      </w:r>
      <w:r w:rsidRPr="002545CC">
        <w:rPr>
          <w:rStyle w:val="Hyperlink"/>
          <w:color w:val="auto"/>
        </w:rPr>
        <w:t xml:space="preserve"> </w:t>
      </w:r>
    </w:p>
    <w:p w14:paraId="3A7CC2A9" w14:textId="77777777" w:rsidR="001075C2" w:rsidRPr="002545CC" w:rsidRDefault="00BE4FA3" w:rsidP="00DA36BF">
      <w:pPr>
        <w:rPr>
          <w:rStyle w:val="Hyperlink"/>
          <w:color w:val="auto"/>
          <w:u w:val="none"/>
        </w:rPr>
      </w:pPr>
      <w:r w:rsidRPr="002545CC">
        <w:rPr>
          <w:rStyle w:val="Hyperlink"/>
          <w:color w:val="auto"/>
          <w:u w:val="none"/>
        </w:rPr>
        <w:t>Eligibility for reimbursement from a general-purpose</w:t>
      </w:r>
      <w:r w:rsidR="009B3ABA" w:rsidRPr="002545CC">
        <w:rPr>
          <w:rStyle w:val="Hyperlink"/>
          <w:color w:val="auto"/>
          <w:u w:val="none"/>
        </w:rPr>
        <w:t xml:space="preserve"> or excepted benefit</w:t>
      </w:r>
      <w:r w:rsidRPr="002545CC">
        <w:rPr>
          <w:rStyle w:val="Hyperlink"/>
          <w:color w:val="auto"/>
          <w:u w:val="none"/>
        </w:rPr>
        <w:t xml:space="preserve"> HRA prior to meeting the minimum statutory HDHP deductible (i.e.</w:t>
      </w:r>
      <w:r w:rsidR="00FE5111">
        <w:rPr>
          <w:rStyle w:val="Hyperlink"/>
          <w:color w:val="auto"/>
          <w:u w:val="none"/>
        </w:rPr>
        <w:t>,</w:t>
      </w:r>
      <w:r w:rsidRPr="002545CC">
        <w:rPr>
          <w:rStyle w:val="Hyperlink"/>
          <w:color w:val="auto"/>
          <w:u w:val="none"/>
        </w:rPr>
        <w:t xml:space="preserve"> $1,</w:t>
      </w:r>
      <w:r w:rsidR="00D00FCE">
        <w:rPr>
          <w:rStyle w:val="Hyperlink"/>
          <w:color w:val="auto"/>
          <w:u w:val="none"/>
        </w:rPr>
        <w:t>5</w:t>
      </w:r>
      <w:r w:rsidRPr="002545CC">
        <w:rPr>
          <w:rStyle w:val="Hyperlink"/>
          <w:color w:val="auto"/>
          <w:u w:val="none"/>
        </w:rPr>
        <w:t>00 / $</w:t>
      </w:r>
      <w:r w:rsidR="00D00FCE">
        <w:rPr>
          <w:rStyle w:val="Hyperlink"/>
          <w:color w:val="auto"/>
          <w:u w:val="none"/>
        </w:rPr>
        <w:t>3</w:t>
      </w:r>
      <w:r w:rsidRPr="002545CC">
        <w:rPr>
          <w:rStyle w:val="Hyperlink"/>
          <w:color w:val="auto"/>
          <w:u w:val="none"/>
        </w:rPr>
        <w:t>,</w:t>
      </w:r>
      <w:r w:rsidR="00D00FCE">
        <w:rPr>
          <w:rStyle w:val="Hyperlink"/>
          <w:color w:val="auto"/>
          <w:u w:val="none"/>
        </w:rPr>
        <w:t>0</w:t>
      </w:r>
      <w:r w:rsidRPr="002545CC">
        <w:rPr>
          <w:rStyle w:val="Hyperlink"/>
          <w:color w:val="auto"/>
          <w:u w:val="none"/>
        </w:rPr>
        <w:t>00 in 202</w:t>
      </w:r>
      <w:r w:rsidR="00D00FCE">
        <w:rPr>
          <w:rStyle w:val="Hyperlink"/>
          <w:color w:val="auto"/>
          <w:u w:val="none"/>
        </w:rPr>
        <w:t>3</w:t>
      </w:r>
      <w:r w:rsidRPr="002545CC">
        <w:rPr>
          <w:rStyle w:val="Hyperlink"/>
          <w:color w:val="auto"/>
          <w:u w:val="none"/>
        </w:rPr>
        <w:t xml:space="preserve">) disqualifies an individual from contributing to an HSA. A general-purpose </w:t>
      </w:r>
      <w:r w:rsidR="009B3ABA" w:rsidRPr="002545CC">
        <w:rPr>
          <w:rStyle w:val="Hyperlink"/>
          <w:color w:val="auto"/>
          <w:u w:val="none"/>
        </w:rPr>
        <w:t xml:space="preserve">or excepted benefit </w:t>
      </w:r>
      <w:r w:rsidRPr="002545CC">
        <w:rPr>
          <w:rStyle w:val="Hyperlink"/>
          <w:color w:val="auto"/>
          <w:u w:val="none"/>
        </w:rPr>
        <w:t>HRA</w:t>
      </w:r>
      <w:r w:rsidR="00BD54EA" w:rsidRPr="002545CC">
        <w:rPr>
          <w:rStyle w:val="Hyperlink"/>
          <w:color w:val="auto"/>
          <w:u w:val="none"/>
        </w:rPr>
        <w:t>, available to reimburse qualifying expenses beyond just dental and vision,</w:t>
      </w:r>
      <w:r w:rsidRPr="002545CC">
        <w:rPr>
          <w:rStyle w:val="Hyperlink"/>
          <w:color w:val="auto"/>
          <w:u w:val="none"/>
        </w:rPr>
        <w:t xml:space="preserve"> </w:t>
      </w:r>
      <w:r w:rsidR="00C05DBD" w:rsidRPr="002545CC">
        <w:rPr>
          <w:rStyle w:val="Hyperlink"/>
          <w:color w:val="auto"/>
          <w:u w:val="none"/>
        </w:rPr>
        <w:t>will make employees, as well as spouses and dependents, who are eligible for such reimbursement ineligible to contribute to an HSA.</w:t>
      </w:r>
    </w:p>
    <w:p w14:paraId="5F4498B2" w14:textId="77777777" w:rsidR="00BE4FA3" w:rsidRPr="002545CC" w:rsidRDefault="00C05DBD" w:rsidP="00DA36BF">
      <w:pPr>
        <w:rPr>
          <w:rStyle w:val="Hyperlink"/>
          <w:color w:val="auto"/>
          <w:u w:val="none"/>
        </w:rPr>
      </w:pPr>
      <w:r w:rsidRPr="002545CC">
        <w:rPr>
          <w:rStyle w:val="Hyperlink"/>
          <w:color w:val="auto"/>
          <w:u w:val="none"/>
        </w:rPr>
        <w:t>The</w:t>
      </w:r>
      <w:r w:rsidR="00BE4FA3" w:rsidRPr="002545CC">
        <w:rPr>
          <w:rStyle w:val="Hyperlink"/>
          <w:color w:val="auto"/>
          <w:u w:val="none"/>
        </w:rPr>
        <w:t xml:space="preserve"> HRA could be designed to be post-deductible or limited-purpose (only available to reimburse dental or vision expenses) to preserve HSA-eligibility. It is also possible to combine the two options, making the HRA limited-purpose until the deductible is met, and then making it available for reimbursement of all qualifying medical expenses once the deductible is met.</w:t>
      </w:r>
    </w:p>
    <w:p w14:paraId="65A2D38E" w14:textId="77777777" w:rsidR="00BD54EA" w:rsidRPr="002545CC" w:rsidRDefault="00BD54EA" w:rsidP="00DA36BF">
      <w:pPr>
        <w:rPr>
          <w:rStyle w:val="Hyperlink"/>
          <w:color w:val="auto"/>
          <w:u w:val="none"/>
        </w:rPr>
      </w:pPr>
    </w:p>
    <w:p w14:paraId="329AE832" w14:textId="77777777" w:rsidR="00BD54EA" w:rsidRPr="002545CC" w:rsidRDefault="00BD54EA" w:rsidP="00DA36BF">
      <w:pPr>
        <w:rPr>
          <w:rStyle w:val="Hyperlink"/>
          <w:color w:val="auto"/>
        </w:rPr>
      </w:pPr>
      <w:r w:rsidRPr="002545CC">
        <w:rPr>
          <w:rStyle w:val="Hyperlink"/>
          <w:color w:val="auto"/>
        </w:rPr>
        <w:t>Qualified Small Employer HRA (QSEHRA) or Individual Coverage HRA (ICHRA)</w:t>
      </w:r>
    </w:p>
    <w:p w14:paraId="7BCA986F" w14:textId="77777777" w:rsidR="009B3ABA" w:rsidRPr="002545CC" w:rsidRDefault="009B3ABA" w:rsidP="00DA36BF">
      <w:r w:rsidRPr="002545CC">
        <w:rPr>
          <w:rStyle w:val="Hyperlink"/>
          <w:color w:val="auto"/>
          <w:u w:val="none"/>
        </w:rPr>
        <w:t>QSEHRAs and ICHRAs may be designed to reimburse any qualifying expenses, including medical insurance premiums. However, participation in a QSEHRA or ICHRA that provides reimbursement for qualifying medical expenses beyond insurance premiums and dental or vision expenses (e.g.</w:t>
      </w:r>
      <w:r w:rsidR="00FE5111">
        <w:rPr>
          <w:rStyle w:val="Hyperlink"/>
          <w:color w:val="auto"/>
          <w:u w:val="none"/>
        </w:rPr>
        <w:t>,</w:t>
      </w:r>
      <w:r w:rsidRPr="002545CC">
        <w:rPr>
          <w:rStyle w:val="Hyperlink"/>
          <w:color w:val="auto"/>
          <w:u w:val="none"/>
        </w:rPr>
        <w:t xml:space="preserve"> out-of-pocket medical costs) will make an individual ineligible to contribute to an HSA. </w:t>
      </w:r>
    </w:p>
    <w:p w14:paraId="2646C519" w14:textId="77777777" w:rsidR="00DA36BF" w:rsidRPr="00194647" w:rsidRDefault="00DA36BF" w:rsidP="00B95504">
      <w:pPr>
        <w:pStyle w:val="Heading3"/>
      </w:pPr>
      <w:r>
        <w:t>MEDICARE</w:t>
      </w:r>
    </w:p>
    <w:p w14:paraId="040423C8" w14:textId="77777777" w:rsidR="00DA36BF" w:rsidRPr="00194647" w:rsidRDefault="00DA36BF" w:rsidP="00DA36BF">
      <w:bookmarkStart w:id="9" w:name="_Hlk482189730"/>
      <w:r w:rsidRPr="00194647">
        <w:t>Individuals who are “entitled”</w:t>
      </w:r>
      <w:r w:rsidR="00B95504">
        <w:t xml:space="preserve"> to </w:t>
      </w:r>
      <w:r w:rsidRPr="00194647">
        <w:t xml:space="preserve">Medicare </w:t>
      </w:r>
      <w:r w:rsidR="00B95504">
        <w:t>(</w:t>
      </w:r>
      <w:r w:rsidR="00C40FB9" w:rsidRPr="00AD453E">
        <w:t>that is, they are</w:t>
      </w:r>
      <w:r w:rsidR="00C40FB9">
        <w:t xml:space="preserve"> </w:t>
      </w:r>
      <w:r w:rsidR="00B95504" w:rsidRPr="00194647">
        <w:rPr>
          <w:u w:val="single"/>
        </w:rPr>
        <w:t>both eligible and enrolled</w:t>
      </w:r>
      <w:r w:rsidR="00B95504" w:rsidRPr="00194647">
        <w:t xml:space="preserve">) </w:t>
      </w:r>
      <w:r w:rsidRPr="00194647">
        <w:t>are ineligibl</w:t>
      </w:r>
      <w:r>
        <w:t xml:space="preserve">e </w:t>
      </w:r>
      <w:r w:rsidRPr="00194647">
        <w:t>to contribute to an HSA</w:t>
      </w:r>
      <w:r>
        <w:t>. Mere eligibility for Medicare (or reaching a particular age – e.g.</w:t>
      </w:r>
      <w:r w:rsidR="00AD453E">
        <w:t>,</w:t>
      </w:r>
      <w:r>
        <w:t xml:space="preserve"> 65) will </w:t>
      </w:r>
      <w:r w:rsidR="00B95504">
        <w:t xml:space="preserve">not </w:t>
      </w:r>
      <w:r>
        <w:t>affect HSA</w:t>
      </w:r>
      <w:r w:rsidR="00AD453E">
        <w:t xml:space="preserve"> </w:t>
      </w:r>
      <w:r>
        <w:t>eligibility.</w:t>
      </w:r>
    </w:p>
    <w:bookmarkEnd w:id="9"/>
    <w:p w14:paraId="2DDD5F03" w14:textId="77777777" w:rsidR="00DA36BF" w:rsidRDefault="00DA36BF" w:rsidP="00DA36BF">
      <w:r w:rsidRPr="00194647">
        <w:t>Medicare Part A enrollment is automatic for some individuals (i.e., those who are already receiving Social Security benefits when they turn 65). These individuals simultaneously become eligible, enrolled, and entitled upon reaching age 65</w:t>
      </w:r>
      <w:r>
        <w:t xml:space="preserve">. </w:t>
      </w:r>
      <w:r w:rsidRPr="00194647">
        <w:t>Choosing not to enroll in Part B does not help</w:t>
      </w:r>
      <w:r w:rsidR="00AD453E">
        <w:t>;</w:t>
      </w:r>
      <w:r w:rsidRPr="00194647">
        <w:t xml:space="preserve"> Part A alone makes an individual ineligible to contribute to </w:t>
      </w:r>
      <w:r w:rsidR="00AD453E">
        <w:t xml:space="preserve">an </w:t>
      </w:r>
      <w:r w:rsidRPr="00194647">
        <w:t>HSA</w:t>
      </w:r>
      <w:r>
        <w:t xml:space="preserve">. </w:t>
      </w:r>
      <w:r w:rsidRPr="00194647">
        <w:t>Other individuals become eligible for Medicare, but must file an application in order to become enrolled in benefits</w:t>
      </w:r>
      <w:r>
        <w:t xml:space="preserve">. </w:t>
      </w:r>
    </w:p>
    <w:p w14:paraId="2092C823" w14:textId="77777777" w:rsidR="00DA36BF" w:rsidRPr="005F0063" w:rsidRDefault="00DA36BF" w:rsidP="00DA36BF">
      <w:r w:rsidRPr="00CE4D88">
        <w:t>Employees who have coverage under an employer-sponsored plan may want to delay Medicare enrollment for things such as maintaining eligibility to contribute to an HSA</w:t>
      </w:r>
      <w:r w:rsidR="00CE4D88">
        <w:t>.</w:t>
      </w:r>
      <w:r w:rsidRPr="00CE4D88">
        <w:t xml:space="preserve"> </w:t>
      </w:r>
      <w:r w:rsidR="00CE4D88">
        <w:t>But k</w:t>
      </w:r>
      <w:r w:rsidRPr="00CE4D88">
        <w:t xml:space="preserve">eep in mind that if entitlement to Medicare is delayed by deferring receipt of Social Security Benefits, then once </w:t>
      </w:r>
      <w:r w:rsidR="00AD453E">
        <w:t xml:space="preserve">a person is </w:t>
      </w:r>
      <w:r w:rsidRPr="00CE4D88">
        <w:t>enrolled, Medicare benefits are generally retroactive up to 6 months</w:t>
      </w:r>
      <w:r w:rsidR="00CE4D88">
        <w:t>,</w:t>
      </w:r>
      <w:r w:rsidRPr="00CE4D88">
        <w:t xml:space="preserve"> which means HSA ineligibility is retroactive as well. In this case, it is advisable to either cease making any contributions prior to enrolling in Medicare or calculate the maximum contribution for the year and contribute accordingly (e.g.</w:t>
      </w:r>
      <w:r w:rsidR="00AD453E">
        <w:t>,</w:t>
      </w:r>
      <w:r w:rsidRPr="00CE4D88">
        <w:t xml:space="preserve"> if the individual enrolled</w:t>
      </w:r>
      <w:r w:rsidR="00EC4534">
        <w:t xml:space="preserve"> in Medicare</w:t>
      </w:r>
      <w:r w:rsidRPr="00CE4D88">
        <w:t xml:space="preserve"> </w:t>
      </w:r>
      <w:r w:rsidR="00AD453E">
        <w:t xml:space="preserve">on </w:t>
      </w:r>
      <w:r w:rsidRPr="00CE4D88">
        <w:t xml:space="preserve">November 1, the effective date may be backdated to </w:t>
      </w:r>
      <w:r w:rsidR="00EC4534">
        <w:t>April 1</w:t>
      </w:r>
      <w:r w:rsidRPr="00CE4D88">
        <w:t>, which means the</w:t>
      </w:r>
      <w:r w:rsidR="00EC4534">
        <w:t xml:space="preserve"> individual would only have been HSA eligible for 3 months (Jan</w:t>
      </w:r>
      <w:r w:rsidR="00AD453E">
        <w:t>uary</w:t>
      </w:r>
      <w:r w:rsidR="00EC4534">
        <w:t>, Feb</w:t>
      </w:r>
      <w:r w:rsidR="00AD453E">
        <w:t>ruary</w:t>
      </w:r>
      <w:r w:rsidR="00EC4534">
        <w:t>, and Mar</w:t>
      </w:r>
      <w:r w:rsidR="00AD453E">
        <w:t>ch</w:t>
      </w:r>
      <w:r w:rsidR="00EC4534">
        <w:t>), and the</w:t>
      </w:r>
      <w:r w:rsidRPr="00CE4D88">
        <w:t xml:space="preserve"> maximum HSA contribution for that year would be 3/12 of the annual maximum + 3/12 of the $1,000 catch-up contribution).</w:t>
      </w:r>
    </w:p>
    <w:p w14:paraId="3A14BC95" w14:textId="77777777" w:rsidR="00B22913" w:rsidRPr="00B22913" w:rsidRDefault="007F5520" w:rsidP="00B22913">
      <w:pPr>
        <w:pStyle w:val="Heading1"/>
      </w:pPr>
      <w:bookmarkStart w:id="10" w:name="_Toc510627676"/>
      <w:r>
        <w:t>HSA Contributions</w:t>
      </w:r>
      <w:bookmarkEnd w:id="10"/>
    </w:p>
    <w:p w14:paraId="4893801D" w14:textId="77777777" w:rsidR="00B22913" w:rsidRPr="00B22913" w:rsidRDefault="00B22913" w:rsidP="00B22913">
      <w:pPr>
        <w:pStyle w:val="Heading2"/>
      </w:pPr>
      <w:r>
        <w:t>Calculating the Annual Contribution Limit</w:t>
      </w:r>
    </w:p>
    <w:p w14:paraId="5DA6A629" w14:textId="77777777" w:rsidR="007F5520" w:rsidRPr="00194647" w:rsidRDefault="007F5520" w:rsidP="007F5520">
      <w:pPr>
        <w:spacing w:after="0"/>
      </w:pPr>
      <w:r>
        <w:t>20</w:t>
      </w:r>
      <w:r w:rsidR="002E7034">
        <w:t>2</w:t>
      </w:r>
      <w:r w:rsidR="00D00FCE">
        <w:t>3</w:t>
      </w:r>
      <w:r>
        <w:t xml:space="preserve"> Annual</w:t>
      </w:r>
      <w:r w:rsidRPr="00194647">
        <w:t xml:space="preserve"> Limits</w:t>
      </w:r>
    </w:p>
    <w:p w14:paraId="5D4153A0" w14:textId="77777777" w:rsidR="007F5520" w:rsidRPr="00194647" w:rsidRDefault="007F5520" w:rsidP="00676C04">
      <w:pPr>
        <w:numPr>
          <w:ilvl w:val="0"/>
          <w:numId w:val="7"/>
        </w:numPr>
        <w:spacing w:after="0" w:line="259" w:lineRule="auto"/>
      </w:pPr>
      <w:r w:rsidRPr="00194647">
        <w:t xml:space="preserve">Maximum </w:t>
      </w:r>
      <w:r>
        <w:t>self-only HDHP (</w:t>
      </w:r>
      <w:r w:rsidRPr="00194647">
        <w:t>individual</w:t>
      </w:r>
      <w:r>
        <w:t>) annual contribution = $3,</w:t>
      </w:r>
      <w:r w:rsidR="00D00FCE">
        <w:t>8</w:t>
      </w:r>
      <w:r w:rsidR="004B6203">
        <w:t>5</w:t>
      </w:r>
      <w:r w:rsidRPr="00194647">
        <w:t xml:space="preserve">0 </w:t>
      </w:r>
    </w:p>
    <w:p w14:paraId="2E320E12" w14:textId="77777777" w:rsidR="007F5520" w:rsidRDefault="007F5520" w:rsidP="00676C04">
      <w:pPr>
        <w:numPr>
          <w:ilvl w:val="0"/>
          <w:numId w:val="7"/>
        </w:numPr>
        <w:spacing w:after="0" w:line="259" w:lineRule="auto"/>
      </w:pPr>
      <w:r w:rsidRPr="00194647">
        <w:t xml:space="preserve">Maximum </w:t>
      </w:r>
      <w:r>
        <w:t>other than self-only HDHP (</w:t>
      </w:r>
      <w:r w:rsidRPr="00194647">
        <w:t>family</w:t>
      </w:r>
      <w:r>
        <w:t>)</w:t>
      </w:r>
      <w:r w:rsidRPr="00194647">
        <w:t xml:space="preserve"> annual contribution = $</w:t>
      </w:r>
      <w:r w:rsidR="00FB6451">
        <w:t>7,</w:t>
      </w:r>
      <w:r w:rsidR="00D00FCE">
        <w:t>750</w:t>
      </w:r>
    </w:p>
    <w:p w14:paraId="5152A66C" w14:textId="77777777" w:rsidR="007F5520" w:rsidRPr="00194647" w:rsidRDefault="007F5520" w:rsidP="007F5520">
      <w:pPr>
        <w:spacing w:after="0"/>
        <w:ind w:left="720"/>
      </w:pPr>
    </w:p>
    <w:p w14:paraId="6AC76DED" w14:textId="77777777" w:rsidR="007F5520" w:rsidRPr="00194647" w:rsidRDefault="007F5520" w:rsidP="007F5520">
      <w:r>
        <w:t>**</w:t>
      </w:r>
      <w:r w:rsidR="00536576">
        <w:t>*</w:t>
      </w:r>
      <w:r>
        <w:t xml:space="preserve"> </w:t>
      </w:r>
      <w:r w:rsidRPr="00194647">
        <w:t>Catch-up contributions</w:t>
      </w:r>
      <w:r>
        <w:t xml:space="preserve"> – </w:t>
      </w:r>
      <w:r w:rsidRPr="00194647">
        <w:t>HSA-eligible individuals who have attained age 55 by the end of the taxable year can make a</w:t>
      </w:r>
      <w:r>
        <w:t>n annual</w:t>
      </w:r>
      <w:r w:rsidRPr="00194647">
        <w:t xml:space="preserve"> $1,000 extra catch-up contribution</w:t>
      </w:r>
      <w:r>
        <w:t>.</w:t>
      </w:r>
    </w:p>
    <w:p w14:paraId="7FD0FE20" w14:textId="77777777" w:rsidR="00B84EF1" w:rsidRDefault="00C64B1A" w:rsidP="00194A10">
      <w:r>
        <w:t>See chart of contribution limits for 2014-20</w:t>
      </w:r>
      <w:r w:rsidR="002E7034">
        <w:t>2</w:t>
      </w:r>
      <w:r w:rsidR="004251FC">
        <w:t>3</w:t>
      </w:r>
      <w:r>
        <w:t xml:space="preserve"> in </w:t>
      </w:r>
      <w:hyperlink w:anchor="AppendixA" w:history="1">
        <w:r w:rsidRPr="00E64719">
          <w:rPr>
            <w:rStyle w:val="Hyperlink"/>
          </w:rPr>
          <w:t>Appendix A</w:t>
        </w:r>
      </w:hyperlink>
      <w:r>
        <w:t>.</w:t>
      </w:r>
      <w:r w:rsidR="00891D0A">
        <w:t xml:space="preserve"> </w:t>
      </w:r>
    </w:p>
    <w:p w14:paraId="0FB21A86" w14:textId="77777777" w:rsidR="00B22913" w:rsidRDefault="00B22913" w:rsidP="00B22913">
      <w:r w:rsidRPr="00194647">
        <w:t>Eligibility</w:t>
      </w:r>
      <w:r w:rsidR="00EC4534">
        <w:t xml:space="preserve"> to contribute to an HSA</w:t>
      </w:r>
      <w:r w:rsidRPr="00194647">
        <w:t xml:space="preserve"> </w:t>
      </w:r>
      <w:r>
        <w:t xml:space="preserve">is </w:t>
      </w:r>
      <w:r w:rsidRPr="00194647">
        <w:t xml:space="preserve">determined monthly </w:t>
      </w:r>
      <w:r>
        <w:t>based on</w:t>
      </w:r>
      <w:r w:rsidRPr="00194647">
        <w:t xml:space="preserve"> the 1st day of the month</w:t>
      </w:r>
      <w:r>
        <w:t>.</w:t>
      </w:r>
      <w:r w:rsidRPr="00194647">
        <w:t xml:space="preserve"> </w:t>
      </w:r>
      <w:r>
        <w:t>Each month</w:t>
      </w:r>
      <w:r w:rsidR="00AD453E">
        <w:t xml:space="preserve"> that</w:t>
      </w:r>
      <w:r>
        <w:t xml:space="preserve"> an individual is HSA</w:t>
      </w:r>
      <w:r w:rsidR="00AD453E">
        <w:t xml:space="preserve"> </w:t>
      </w:r>
      <w:r>
        <w:t xml:space="preserve">eligible, the individual is eligible to contribute up to 1/12 of the annual maximum </w:t>
      </w:r>
      <w:r w:rsidRPr="00194647">
        <w:t>(</w:t>
      </w:r>
      <w:r>
        <w:t>unless the individual is taking advantage of</w:t>
      </w:r>
      <w:r w:rsidRPr="00194647">
        <w:t xml:space="preserve"> the full-contribution rule</w:t>
      </w:r>
      <w:r w:rsidR="0035580F">
        <w:t>, described below</w:t>
      </w:r>
      <w:r w:rsidRPr="00194647">
        <w:t>)</w:t>
      </w:r>
      <w:r>
        <w:t>.</w:t>
      </w:r>
    </w:p>
    <w:p w14:paraId="3EB034C3" w14:textId="77777777" w:rsidR="00536576" w:rsidRPr="008057A3" w:rsidRDefault="00536576" w:rsidP="00536576">
      <w:r>
        <w:t>The amount that an individual is eligible to contribute to an HSA is dependent upon the tier of coverage in which the individual is enrolled (i.e.</w:t>
      </w:r>
      <w:r w:rsidR="00AD453E">
        <w:t>,</w:t>
      </w:r>
      <w:r>
        <w:t xml:space="preserve"> single or family). </w:t>
      </w:r>
      <w:r w:rsidRPr="008057A3">
        <w:t xml:space="preserve">If the </w:t>
      </w:r>
      <w:r>
        <w:t>individual</w:t>
      </w:r>
      <w:r w:rsidRPr="008057A3">
        <w:t xml:space="preserve"> is enrolled in family HDHP coverage, </w:t>
      </w:r>
      <w:r>
        <w:t xml:space="preserve">and is eligible to contribute to an HSA, </w:t>
      </w:r>
      <w:r w:rsidRPr="008057A3">
        <w:t xml:space="preserve">the </w:t>
      </w:r>
      <w:r>
        <w:t xml:space="preserve">individual may contribute up to </w:t>
      </w:r>
      <w:r w:rsidR="00AD453E">
        <w:t xml:space="preserve">the </w:t>
      </w:r>
      <w:r>
        <w:t>family annual contribution amount</w:t>
      </w:r>
      <w:r w:rsidR="00531625">
        <w:t xml:space="preserve"> </w:t>
      </w:r>
      <w:r w:rsidR="00EC4534">
        <w:t>(</w:t>
      </w:r>
      <w:r>
        <w:t xml:space="preserve">subject to </w:t>
      </w:r>
      <w:r w:rsidR="00AD453E">
        <w:t xml:space="preserve">a </w:t>
      </w:r>
      <w:r>
        <w:t>special rule for spouses</w:t>
      </w:r>
      <w:r w:rsidR="00AD453E">
        <w:t>,</w:t>
      </w:r>
      <w:r w:rsidR="00EC4534">
        <w:t xml:space="preserve"> described below)</w:t>
      </w:r>
      <w:r>
        <w:t>. This is true even if the spouse or dependents who are enrolled in the HDHP coverage have other disqualifying coverage and are not HSA</w:t>
      </w:r>
      <w:r w:rsidR="00AD453E">
        <w:t xml:space="preserve"> </w:t>
      </w:r>
      <w:r>
        <w:t>eligible</w:t>
      </w:r>
      <w:r w:rsidR="00855D18">
        <w:t>, as</w:t>
      </w:r>
      <w:r>
        <w:t xml:space="preserve"> illustrated in</w:t>
      </w:r>
      <w:r w:rsidRPr="008057A3">
        <w:t xml:space="preserve"> IRS Notice 2008-29, Q&amp;A #16 </w:t>
      </w:r>
      <w:r>
        <w:t xml:space="preserve">(excerpt </w:t>
      </w:r>
      <w:r w:rsidRPr="008057A3">
        <w:t>below</w:t>
      </w:r>
      <w:r>
        <w:t>):</w:t>
      </w:r>
    </w:p>
    <w:p w14:paraId="08E4EB85" w14:textId="77777777" w:rsidR="00536576" w:rsidRPr="008057A3" w:rsidRDefault="00536576" w:rsidP="00536576">
      <w:pPr>
        <w:shd w:val="clear" w:color="auto" w:fill="FFFFFF"/>
        <w:spacing w:before="100" w:beforeAutospacing="1" w:after="100" w:afterAutospacing="1" w:line="210" w:lineRule="atLeast"/>
        <w:ind w:left="720"/>
      </w:pPr>
      <w:r w:rsidRPr="008057A3">
        <w:rPr>
          <w:i/>
          <w:iCs/>
        </w:rPr>
        <w:t>Q-16. How do the maximum annual HSA contribution limits apply to an eligible individual with family HDHP coverage for the entire year if the family HDHP covers spouses or dependent children who also have coverage by a non-HDHP, Medicare, or Medicaid?</w:t>
      </w:r>
    </w:p>
    <w:p w14:paraId="512BF627" w14:textId="77777777" w:rsidR="00536576" w:rsidRPr="00326D76" w:rsidRDefault="00536576" w:rsidP="00326D76">
      <w:pPr>
        <w:ind w:left="720"/>
        <w:rPr>
          <w:i/>
          <w:iCs/>
        </w:rPr>
      </w:pPr>
      <w:r w:rsidRPr="008057A3">
        <w:rPr>
          <w:i/>
          <w:iCs/>
        </w:rPr>
        <w:t>A-16. The eligible individual may contribute the § 223(b)(2)(B) statutory maximum for family coverage. Other coverage of dependent children or spouses does not affect the individual’s contribution limit, except that if the spouse is not an otherwise eligible individual, no part of the HSA contribution can be allocated to the spouse.</w:t>
      </w:r>
    </w:p>
    <w:p w14:paraId="1E8F0FC9" w14:textId="77777777" w:rsidR="0085172F" w:rsidRDefault="008E04EA" w:rsidP="008E04EA">
      <w:r w:rsidRPr="00E64719">
        <w:t xml:space="preserve">See examples in </w:t>
      </w:r>
      <w:hyperlink w:anchor="AppendixB" w:history="1">
        <w:r w:rsidRPr="00E64719">
          <w:rPr>
            <w:rStyle w:val="Hyperlink"/>
          </w:rPr>
          <w:t xml:space="preserve">Appendix </w:t>
        </w:r>
        <w:r w:rsidR="00C64B1A" w:rsidRPr="00E64719">
          <w:rPr>
            <w:rStyle w:val="Hyperlink"/>
          </w:rPr>
          <w:t>B</w:t>
        </w:r>
      </w:hyperlink>
      <w:r w:rsidRPr="00E64719">
        <w:t xml:space="preserve">. </w:t>
      </w:r>
      <w:r w:rsidRPr="0038139A">
        <w:t>In addition, here is a link to a spreadsheet tool to assist in calculating annual contribution amounts</w:t>
      </w:r>
      <w:r w:rsidR="00AD453E">
        <w:t>:</w:t>
      </w:r>
      <w:r w:rsidR="0038139A">
        <w:t xml:space="preserve"> </w:t>
      </w:r>
      <w:hyperlink r:id="rId14" w:history="1">
        <w:r w:rsidR="0085172F" w:rsidRPr="00D36BC1">
          <w:rPr>
            <w:rStyle w:val="Hyperlink"/>
          </w:rPr>
          <w:t>http://www.benefitcomply.com/resources/wp-content/uploads/2022/03/HSAContributionCalculations_2022-1.xlsx</w:t>
        </w:r>
      </w:hyperlink>
    </w:p>
    <w:p w14:paraId="715D4EC9" w14:textId="77777777" w:rsidR="00B22913" w:rsidRDefault="00536576" w:rsidP="00536576">
      <w:pPr>
        <w:pStyle w:val="Heading3"/>
      </w:pPr>
      <w:r>
        <w:t>Full Contribution Rule</w:t>
      </w:r>
    </w:p>
    <w:p w14:paraId="23A45AC6" w14:textId="77777777" w:rsidR="00A3268E" w:rsidRDefault="00B22913" w:rsidP="00194A10">
      <w:r>
        <w:t>Under the “full contribution rule” (or “last month rule”), individuals may make a full year’s contribution based on the HDHP coverage in effect on December 1</w:t>
      </w:r>
      <w:r w:rsidRPr="00A6357A">
        <w:rPr>
          <w:vertAlign w:val="superscript"/>
        </w:rPr>
        <w:t>st</w:t>
      </w:r>
      <w:r>
        <w:t xml:space="preserve"> so long as the individual remains eligible to contribute to an HSA for a thirteen</w:t>
      </w:r>
      <w:r w:rsidR="00AD453E">
        <w:t>-</w:t>
      </w:r>
      <w:r>
        <w:t>month “testing period” that starts on December 1</w:t>
      </w:r>
      <w:r w:rsidRPr="00A6357A">
        <w:rPr>
          <w:vertAlign w:val="superscript"/>
        </w:rPr>
        <w:t>st</w:t>
      </w:r>
      <w:r>
        <w:t xml:space="preserve"> and runs until the following December 31</w:t>
      </w:r>
      <w:r w:rsidRPr="00A6357A">
        <w:rPr>
          <w:vertAlign w:val="superscript"/>
        </w:rPr>
        <w:t>st</w:t>
      </w:r>
      <w:r>
        <w:t>. For example, an individual who enrolls in HDHP coverage in June 20</w:t>
      </w:r>
      <w:r w:rsidR="002E7034">
        <w:t>2</w:t>
      </w:r>
      <w:r w:rsidR="00D00FCE">
        <w:t>3</w:t>
      </w:r>
      <w:r>
        <w:t xml:space="preserve"> would be able to contribute</w:t>
      </w:r>
      <w:r w:rsidR="00AD453E">
        <w:t xml:space="preserve"> only</w:t>
      </w:r>
      <w:r>
        <w:t xml:space="preserve"> 7/12 of the 20</w:t>
      </w:r>
      <w:r w:rsidR="002E7034">
        <w:t>2</w:t>
      </w:r>
      <w:r w:rsidR="00D00FCE">
        <w:t>3</w:t>
      </w:r>
      <w:r>
        <w:t xml:space="preserve"> annual contribution limit under the standard rules; however, using the full contribution rule, the employee could make the full 20</w:t>
      </w:r>
      <w:r w:rsidR="002E7034">
        <w:t>2</w:t>
      </w:r>
      <w:r w:rsidR="00D00FCE">
        <w:t>3</w:t>
      </w:r>
      <w:r>
        <w:t xml:space="preserve"> annual contribution so long as the individual remains eligible to contribute to an HSA </w:t>
      </w:r>
      <w:r w:rsidR="00EC4534">
        <w:t xml:space="preserve">from </w:t>
      </w:r>
      <w:r>
        <w:t>December 1</w:t>
      </w:r>
      <w:r w:rsidRPr="00A6357A">
        <w:rPr>
          <w:vertAlign w:val="superscript"/>
        </w:rPr>
        <w:t>st</w:t>
      </w:r>
      <w:r>
        <w:t>, 20</w:t>
      </w:r>
      <w:r w:rsidR="002E7034">
        <w:t>2</w:t>
      </w:r>
      <w:r w:rsidR="00D00FCE">
        <w:t>3</w:t>
      </w:r>
      <w:r w:rsidR="00B23DCF">
        <w:t>,</w:t>
      </w:r>
      <w:r>
        <w:t xml:space="preserve"> through December 31</w:t>
      </w:r>
      <w:r w:rsidRPr="00A6357A">
        <w:rPr>
          <w:vertAlign w:val="superscript"/>
        </w:rPr>
        <w:t>st</w:t>
      </w:r>
      <w:r>
        <w:t>, 20</w:t>
      </w:r>
      <w:r w:rsidR="0047124A">
        <w:t>2</w:t>
      </w:r>
      <w:r w:rsidR="00D00FCE">
        <w:t>4</w:t>
      </w:r>
      <w:r>
        <w:t>.</w:t>
      </w:r>
      <w:r w:rsidR="0035580F">
        <w:t xml:space="preserve"> Or perhaps an individual </w:t>
      </w:r>
      <w:r w:rsidR="004C1D8F">
        <w:t>enrolls in single</w:t>
      </w:r>
      <w:r w:rsidR="0035580F">
        <w:t xml:space="preserve"> coverage at the beginning of 202</w:t>
      </w:r>
      <w:r w:rsidR="00D00FCE">
        <w:t>3</w:t>
      </w:r>
      <w:r w:rsidR="0035580F">
        <w:t xml:space="preserve"> </w:t>
      </w:r>
      <w:r w:rsidR="004C1D8F">
        <w:t>and</w:t>
      </w:r>
      <w:r w:rsidR="0035580F">
        <w:t xml:space="preserve"> switche</w:t>
      </w:r>
      <w:r w:rsidR="004C1D8F">
        <w:t>s</w:t>
      </w:r>
      <w:r w:rsidR="0035580F">
        <w:t xml:space="preserve"> to family coverage in September</w:t>
      </w:r>
      <w:r w:rsidR="004C1D8F">
        <w:t xml:space="preserve"> 202</w:t>
      </w:r>
      <w:r w:rsidR="00D00FCE">
        <w:t>3</w:t>
      </w:r>
      <w:r w:rsidR="0035580F">
        <w:t>.</w:t>
      </w:r>
      <w:r w:rsidR="002545CC">
        <w:t xml:space="preserve"> </w:t>
      </w:r>
      <w:r w:rsidR="00BB0271">
        <w:t>T</w:t>
      </w:r>
      <w:r w:rsidR="004C1D8F">
        <w:t>he individual could</w:t>
      </w:r>
      <w:r w:rsidR="0035580F">
        <w:t xml:space="preserve"> make the full annual contribution amount for family coverage ($7,</w:t>
      </w:r>
      <w:r w:rsidR="00D00FCE">
        <w:t>75</w:t>
      </w:r>
      <w:r w:rsidR="0035580F">
        <w:t>0 for 202</w:t>
      </w:r>
      <w:r w:rsidR="00D00FCE">
        <w:t>3</w:t>
      </w:r>
      <w:r w:rsidR="0035580F">
        <w:t>)</w:t>
      </w:r>
      <w:r w:rsidR="004C1D8F">
        <w:t xml:space="preserve"> so long as the individual</w:t>
      </w:r>
      <w:r w:rsidR="00BB0271">
        <w:t xml:space="preserve"> is enrolled in family coverage as of December 1</w:t>
      </w:r>
      <w:r w:rsidR="00BB0271" w:rsidRPr="00BB0271">
        <w:rPr>
          <w:vertAlign w:val="superscript"/>
        </w:rPr>
        <w:t>st</w:t>
      </w:r>
      <w:r w:rsidR="00BB0271">
        <w:t>, 202</w:t>
      </w:r>
      <w:r w:rsidR="00D00FCE">
        <w:t>3</w:t>
      </w:r>
      <w:r w:rsidR="00BB0271">
        <w:t xml:space="preserve"> and</w:t>
      </w:r>
      <w:r w:rsidR="004C1D8F">
        <w:t xml:space="preserve"> remains eligible to contribute to an HSA through December 31</w:t>
      </w:r>
      <w:r w:rsidR="004C1D8F" w:rsidRPr="004C1D8F">
        <w:rPr>
          <w:vertAlign w:val="superscript"/>
        </w:rPr>
        <w:t>st</w:t>
      </w:r>
      <w:r w:rsidR="004C1D8F">
        <w:t>, 202</w:t>
      </w:r>
      <w:r w:rsidR="00D00FCE">
        <w:t>4</w:t>
      </w:r>
      <w:r w:rsidR="0035580F">
        <w:t>.</w:t>
      </w:r>
      <w:r>
        <w:t xml:space="preserve"> If an individual takes advantage of the full contribution rule and fails to remain an eligible individual for the entire testing period (e.g.</w:t>
      </w:r>
      <w:r w:rsidR="00B23DCF">
        <w:t>,</w:t>
      </w:r>
      <w:r>
        <w:t xml:space="preserve"> drops HDHP coverage in June 20</w:t>
      </w:r>
      <w:r w:rsidR="0047124A">
        <w:t>2</w:t>
      </w:r>
      <w:r w:rsidR="00D00FCE">
        <w:t>4</w:t>
      </w:r>
      <w:r>
        <w:t xml:space="preserve">), then the difference between what </w:t>
      </w:r>
      <w:r w:rsidR="00B23DCF">
        <w:t>that person</w:t>
      </w:r>
      <w:r>
        <w:t xml:space="preserve"> would have been allowed to contribute without the last month rule and the amount actually contributed would be includable in gross income in the year the individual first failed to remain an eligible individual during the testing period, and such amounts would also be subject to a 10% penalty tax.</w:t>
      </w:r>
    </w:p>
    <w:p w14:paraId="733B2B2E" w14:textId="77777777" w:rsidR="00536576" w:rsidRDefault="00536576" w:rsidP="00536576">
      <w:pPr>
        <w:pStyle w:val="Heading3"/>
      </w:pPr>
      <w:r>
        <w:t>Special Rule for Spouses</w:t>
      </w:r>
    </w:p>
    <w:p w14:paraId="3FF467F7" w14:textId="77777777" w:rsidR="00536576" w:rsidRPr="00C64B1A" w:rsidRDefault="00E10421" w:rsidP="00194A10">
      <w:pPr>
        <w:rPr>
          <w:szCs w:val="22"/>
        </w:rPr>
      </w:pPr>
      <w:r w:rsidRPr="00E10421">
        <w:t xml:space="preserve">When </w:t>
      </w:r>
      <w:r>
        <w:t>both spouses</w:t>
      </w:r>
      <w:r w:rsidRPr="00E10421">
        <w:t xml:space="preserve"> </w:t>
      </w:r>
      <w:r w:rsidR="00B23DCF">
        <w:t xml:space="preserve">are </w:t>
      </w:r>
      <w:r w:rsidRPr="00E10421">
        <w:t xml:space="preserve">enrolled in HDHP coverage and are both HSA-eligible, so long as one spouse has </w:t>
      </w:r>
      <w:r w:rsidRPr="00C64B1A">
        <w:rPr>
          <w:szCs w:val="22"/>
        </w:rPr>
        <w:t xml:space="preserve">family coverage, then both are treated as having family coverage for purposes of HSA contribution limits; however, </w:t>
      </w:r>
      <w:r w:rsidR="00536576" w:rsidRPr="00C64B1A">
        <w:rPr>
          <w:szCs w:val="22"/>
        </w:rPr>
        <w:t>together they cannot exceed the annual fa</w:t>
      </w:r>
      <w:r w:rsidR="007625F7">
        <w:rPr>
          <w:szCs w:val="22"/>
        </w:rPr>
        <w:t>mily contribution amount ($</w:t>
      </w:r>
      <w:r w:rsidR="0047124A">
        <w:rPr>
          <w:szCs w:val="22"/>
        </w:rPr>
        <w:t>7,</w:t>
      </w:r>
      <w:r w:rsidR="00D00FCE">
        <w:rPr>
          <w:szCs w:val="22"/>
        </w:rPr>
        <w:t>75</w:t>
      </w:r>
      <w:r w:rsidR="007625F7">
        <w:rPr>
          <w:szCs w:val="22"/>
        </w:rPr>
        <w:t>0</w:t>
      </w:r>
      <w:r w:rsidR="00536576" w:rsidRPr="00C64B1A">
        <w:rPr>
          <w:szCs w:val="22"/>
        </w:rPr>
        <w:t xml:space="preserve"> in 20</w:t>
      </w:r>
      <w:r w:rsidR="002E7034">
        <w:rPr>
          <w:szCs w:val="22"/>
        </w:rPr>
        <w:t>2</w:t>
      </w:r>
      <w:r w:rsidR="00D00FCE">
        <w:rPr>
          <w:szCs w:val="22"/>
        </w:rPr>
        <w:t>3</w:t>
      </w:r>
      <w:r w:rsidR="00536576" w:rsidRPr="00C64B1A">
        <w:rPr>
          <w:szCs w:val="22"/>
        </w:rPr>
        <w:t>). The contribution limit is divided equally unless the spouses agree on a different division.</w:t>
      </w:r>
      <w:r w:rsidRPr="00C64B1A">
        <w:rPr>
          <w:szCs w:val="22"/>
        </w:rPr>
        <w:t xml:space="preserve"> </w:t>
      </w:r>
      <w:r w:rsidR="00536576" w:rsidRPr="00C64B1A">
        <w:rPr>
          <w:szCs w:val="22"/>
        </w:rPr>
        <w:t xml:space="preserve">See the chart found in </w:t>
      </w:r>
      <w:hyperlink w:anchor="AppendixC" w:history="1">
        <w:r w:rsidR="00536576" w:rsidRPr="00E64719">
          <w:rPr>
            <w:rStyle w:val="Hyperlink"/>
            <w:szCs w:val="22"/>
          </w:rPr>
          <w:t xml:space="preserve">Appendix </w:t>
        </w:r>
        <w:r w:rsidR="00C64B1A" w:rsidRPr="00E64719">
          <w:rPr>
            <w:rStyle w:val="Hyperlink"/>
            <w:szCs w:val="22"/>
          </w:rPr>
          <w:t>C</w:t>
        </w:r>
      </w:hyperlink>
      <w:r w:rsidR="00536576" w:rsidRPr="00C64B1A">
        <w:rPr>
          <w:szCs w:val="22"/>
        </w:rPr>
        <w:t xml:space="preserve"> </w:t>
      </w:r>
      <w:r w:rsidR="00B23DCF">
        <w:rPr>
          <w:szCs w:val="22"/>
        </w:rPr>
        <w:t xml:space="preserve">that </w:t>
      </w:r>
      <w:r w:rsidR="00536576" w:rsidRPr="00C64B1A">
        <w:rPr>
          <w:szCs w:val="22"/>
        </w:rPr>
        <w:t>further illustrat</w:t>
      </w:r>
      <w:r w:rsidR="00B23DCF">
        <w:rPr>
          <w:szCs w:val="22"/>
        </w:rPr>
        <w:t>es</w:t>
      </w:r>
      <w:r w:rsidR="00536576" w:rsidRPr="00C64B1A">
        <w:rPr>
          <w:szCs w:val="22"/>
        </w:rPr>
        <w:t xml:space="preserve"> this rule.</w:t>
      </w:r>
    </w:p>
    <w:p w14:paraId="1E454A12" w14:textId="77777777" w:rsidR="00536576" w:rsidRPr="00C64B1A" w:rsidRDefault="00C64B1A" w:rsidP="00194A10">
      <w:pPr>
        <w:rPr>
          <w:szCs w:val="22"/>
        </w:rPr>
      </w:pPr>
      <w:r w:rsidRPr="00C64B1A">
        <w:rPr>
          <w:rFonts w:cs="Arial"/>
          <w:szCs w:val="22"/>
        </w:rPr>
        <w:t>If both spouses are HSA</w:t>
      </w:r>
      <w:r w:rsidR="00B23DCF">
        <w:rPr>
          <w:rFonts w:cs="Arial"/>
          <w:szCs w:val="22"/>
        </w:rPr>
        <w:t xml:space="preserve"> </w:t>
      </w:r>
      <w:r w:rsidRPr="00C64B1A">
        <w:rPr>
          <w:rFonts w:cs="Arial"/>
          <w:szCs w:val="22"/>
        </w:rPr>
        <w:t>eligible and want to contribute to an HSA, it is not possible to have a "joint HSA account” (see IRS Notice 2004-50, 2004-33 I.R.B. 196, Q/A-63). HSAs are individually</w:t>
      </w:r>
      <w:r w:rsidR="00B23DCF">
        <w:rPr>
          <w:rFonts w:cs="Arial"/>
          <w:szCs w:val="22"/>
        </w:rPr>
        <w:t xml:space="preserve"> </w:t>
      </w:r>
      <w:r w:rsidRPr="00C64B1A">
        <w:rPr>
          <w:rFonts w:cs="Arial"/>
          <w:szCs w:val="22"/>
        </w:rPr>
        <w:t xml:space="preserve">owned accounts. </w:t>
      </w:r>
      <w:r w:rsidR="00B23DCF">
        <w:rPr>
          <w:rFonts w:cs="Arial"/>
          <w:szCs w:val="22"/>
        </w:rPr>
        <w:t>Although</w:t>
      </w:r>
      <w:r w:rsidRPr="00C64B1A">
        <w:rPr>
          <w:rFonts w:cs="Arial"/>
          <w:szCs w:val="22"/>
        </w:rPr>
        <w:t xml:space="preserve"> one spouse could contribute to the other spouse’s HSA, the HSA</w:t>
      </w:r>
      <w:r>
        <w:rPr>
          <w:rFonts w:cs="Arial"/>
          <w:szCs w:val="22"/>
        </w:rPr>
        <w:t xml:space="preserve"> then</w:t>
      </w:r>
      <w:r w:rsidRPr="00C64B1A">
        <w:rPr>
          <w:rFonts w:cs="Arial"/>
          <w:szCs w:val="22"/>
        </w:rPr>
        <w:t xml:space="preserve"> belongs to only one of them. NOTE – </w:t>
      </w:r>
      <w:r w:rsidR="00EC4534">
        <w:rPr>
          <w:rFonts w:cs="Arial"/>
          <w:szCs w:val="22"/>
        </w:rPr>
        <w:t>Notwithstanding the special rule for spouses, each spouse who is age 55 or older may still make up to the full annual catch-up contribution (up to $1,000). I</w:t>
      </w:r>
      <w:r w:rsidRPr="00C64B1A">
        <w:rPr>
          <w:rFonts w:cs="Arial"/>
          <w:szCs w:val="22"/>
        </w:rPr>
        <w:t xml:space="preserve">f </w:t>
      </w:r>
      <w:r w:rsidR="00EC4534">
        <w:rPr>
          <w:rFonts w:cs="Arial"/>
          <w:szCs w:val="22"/>
        </w:rPr>
        <w:t>both spouses are 55 or older</w:t>
      </w:r>
      <w:r w:rsidR="009F7FB4">
        <w:rPr>
          <w:rFonts w:cs="Arial"/>
          <w:szCs w:val="22"/>
        </w:rPr>
        <w:t>,</w:t>
      </w:r>
      <w:r w:rsidR="00EC4534">
        <w:rPr>
          <w:rFonts w:cs="Arial"/>
          <w:szCs w:val="22"/>
        </w:rPr>
        <w:t xml:space="preserve"> and </w:t>
      </w:r>
      <w:r w:rsidRPr="00C64B1A">
        <w:rPr>
          <w:rFonts w:cs="Arial"/>
          <w:szCs w:val="22"/>
        </w:rPr>
        <w:t>there is a desire to</w:t>
      </w:r>
      <w:r w:rsidR="0035580F">
        <w:rPr>
          <w:rFonts w:cs="Arial"/>
          <w:szCs w:val="22"/>
        </w:rPr>
        <w:t xml:space="preserve"> each</w:t>
      </w:r>
      <w:r w:rsidRPr="00C64B1A">
        <w:rPr>
          <w:rFonts w:cs="Arial"/>
          <w:szCs w:val="22"/>
        </w:rPr>
        <w:t xml:space="preserve"> take advantage of catch-up contributions, </w:t>
      </w:r>
      <w:r w:rsidR="00EC4534">
        <w:rPr>
          <w:rFonts w:cs="Arial"/>
          <w:szCs w:val="22"/>
        </w:rPr>
        <w:t>each spouse</w:t>
      </w:r>
      <w:r w:rsidR="00EC4534" w:rsidRPr="00C64B1A">
        <w:rPr>
          <w:rFonts w:cs="Arial"/>
          <w:szCs w:val="22"/>
        </w:rPr>
        <w:t xml:space="preserve"> </w:t>
      </w:r>
      <w:r w:rsidRPr="00C64B1A">
        <w:rPr>
          <w:rFonts w:cs="Arial"/>
          <w:szCs w:val="22"/>
        </w:rPr>
        <w:t xml:space="preserve">must have </w:t>
      </w:r>
      <w:r w:rsidR="007B0259">
        <w:rPr>
          <w:rFonts w:cs="Arial"/>
          <w:szCs w:val="22"/>
        </w:rPr>
        <w:t>his or her</w:t>
      </w:r>
      <w:r w:rsidRPr="00C64B1A">
        <w:rPr>
          <w:rFonts w:cs="Arial"/>
          <w:szCs w:val="22"/>
        </w:rPr>
        <w:t xml:space="preserve"> own HSA. </w:t>
      </w:r>
    </w:p>
    <w:p w14:paraId="6337581F" w14:textId="77777777" w:rsidR="00040A9F" w:rsidRDefault="00040A9F" w:rsidP="00040A9F">
      <w:pPr>
        <w:pStyle w:val="Heading2"/>
      </w:pPr>
      <w:r>
        <w:t>Excess Contributions &amp; Corrections</w:t>
      </w:r>
    </w:p>
    <w:p w14:paraId="5D3C9752" w14:textId="77777777" w:rsidR="00040A9F" w:rsidRDefault="00E27A9A" w:rsidP="00040A9F">
      <w:r>
        <w:t>When an individual contributes too much to their HSA, or makes contributions when not eligible to do so, such contributions are considered “excess contributions” and</w:t>
      </w:r>
      <w:r w:rsidR="00040A9F" w:rsidRPr="00242377">
        <w:t xml:space="preserve"> are subject to a 6% excise tax</w:t>
      </w:r>
      <w:r w:rsidR="00040A9F">
        <w:t xml:space="preserve"> on the individual if corrections are not made</w:t>
      </w:r>
      <w:r w:rsidR="00040A9F" w:rsidRPr="00242377">
        <w:t>.</w:t>
      </w:r>
      <w:r w:rsidR="00040A9F" w:rsidRPr="00194647">
        <w:t> </w:t>
      </w:r>
      <w:r w:rsidR="00040A9F" w:rsidRPr="00A63E84">
        <w:t>In order to avoid a 6% excise tax on the excess contributions, the employee should request a distribution of the excess contributions and earnings before the individual</w:t>
      </w:r>
      <w:r w:rsidR="007B0259">
        <w:t>’</w:t>
      </w:r>
      <w:r w:rsidR="00040A9F" w:rsidRPr="00A63E84">
        <w:t>s federal income tax filing deadline (including extensions)</w:t>
      </w:r>
      <w:r w:rsidR="00040A9F">
        <w:t>.</w:t>
      </w:r>
    </w:p>
    <w:p w14:paraId="7885FA81" w14:textId="77777777" w:rsidR="00B22913" w:rsidRDefault="00B23DCF" w:rsidP="00194A10">
      <w:r>
        <w:t>Although</w:t>
      </w:r>
      <w:r w:rsidR="00040A9F">
        <w:t xml:space="preserve"> the employee may request a curative distribution for any excess amount contributed to an HSA (including both employee and employer contributions), e</w:t>
      </w:r>
      <w:r w:rsidR="00040A9F" w:rsidRPr="00A63E84">
        <w:t xml:space="preserve">mployer HSA contributions are </w:t>
      </w:r>
      <w:r w:rsidR="00040A9F">
        <w:t xml:space="preserve">generally </w:t>
      </w:r>
      <w:r w:rsidR="00040A9F" w:rsidRPr="00A63E84">
        <w:t>non-forfeitable</w:t>
      </w:r>
      <w:r w:rsidR="00040A9F">
        <w:t xml:space="preserve"> for the employer, meaning e</w:t>
      </w:r>
      <w:r w:rsidR="00040A9F" w:rsidRPr="00A63E84">
        <w:t>mployers may not recoup the contributions but should re-characterize any excess contributions as taxable income to the employee if possible</w:t>
      </w:r>
      <w:r w:rsidR="00040A9F">
        <w:t>.</w:t>
      </w:r>
      <w:r w:rsidR="00F608B5">
        <w:t xml:space="preserve"> The only exceptions to this rule, potentially allowing the employer to reverse contributions</w:t>
      </w:r>
      <w:r>
        <w:t>,</w:t>
      </w:r>
      <w:r w:rsidR="00F608B5">
        <w:t xml:space="preserve"> are for the following circumstances:</w:t>
      </w:r>
    </w:p>
    <w:p w14:paraId="46E81F46" w14:textId="77777777" w:rsidR="00F608B5" w:rsidRDefault="00F608B5" w:rsidP="00676C04">
      <w:pPr>
        <w:numPr>
          <w:ilvl w:val="0"/>
          <w:numId w:val="15"/>
        </w:numPr>
      </w:pPr>
      <w:r>
        <w:t xml:space="preserve">The individual has never </w:t>
      </w:r>
      <w:r w:rsidR="00261BF6">
        <w:t>been HSA</w:t>
      </w:r>
      <w:r w:rsidR="00B23DCF">
        <w:t xml:space="preserve"> </w:t>
      </w:r>
      <w:r w:rsidR="00261BF6">
        <w:t>eligible;</w:t>
      </w:r>
    </w:p>
    <w:p w14:paraId="5204965F" w14:textId="77777777" w:rsidR="00F608B5" w:rsidRPr="00261BF6" w:rsidRDefault="00261BF6" w:rsidP="00676C04">
      <w:pPr>
        <w:numPr>
          <w:ilvl w:val="0"/>
          <w:numId w:val="15"/>
        </w:numPr>
      </w:pPr>
      <w:r>
        <w:rPr>
          <w:rFonts w:cs="Arial"/>
          <w:color w:val="252525"/>
          <w:sz w:val="23"/>
          <w:szCs w:val="23"/>
        </w:rPr>
        <w:t xml:space="preserve">The employer erroneously contributed more than the full maximum annual contribution; or </w:t>
      </w:r>
    </w:p>
    <w:p w14:paraId="1509A177" w14:textId="77777777" w:rsidR="00261BF6" w:rsidRDefault="00261BF6" w:rsidP="00676C04">
      <w:pPr>
        <w:numPr>
          <w:ilvl w:val="0"/>
          <w:numId w:val="15"/>
        </w:numPr>
      </w:pPr>
      <w:r>
        <w:t>Clear evidence of administrative or process error (e.g.</w:t>
      </w:r>
      <w:r w:rsidR="00B23DCF">
        <w:t>,</w:t>
      </w:r>
      <w:r>
        <w:t xml:space="preserve"> duplicative contributions, decimal point in the wrong place, deposited into another employee’s HSA with a similar name).</w:t>
      </w:r>
    </w:p>
    <w:p w14:paraId="2D841BBD" w14:textId="77777777" w:rsidR="00261BF6" w:rsidRDefault="00261BF6" w:rsidP="00261BF6">
      <w:r>
        <w:t>It’s important to understand that there is no exception to the non-forfeitability rule for employer contributions if the individual was HSA</w:t>
      </w:r>
      <w:r w:rsidR="00B23DCF">
        <w:t xml:space="preserve"> </w:t>
      </w:r>
      <w:r>
        <w:t>eligible and then ceased to be HSA</w:t>
      </w:r>
      <w:r w:rsidR="00B23DCF">
        <w:t xml:space="preserve"> </w:t>
      </w:r>
      <w:r>
        <w:t>eligible (e.g.</w:t>
      </w:r>
      <w:r w:rsidR="00B23DCF">
        <w:t>,</w:t>
      </w:r>
      <w:r>
        <w:t xml:space="preserve"> </w:t>
      </w:r>
      <w:r w:rsidR="00B23DCF">
        <w:t>because of</w:t>
      </w:r>
      <w:r>
        <w:t xml:space="preserve"> Medicare enrollment).</w:t>
      </w:r>
      <w:r w:rsidR="00322CC8">
        <w:t xml:space="preserve"> See more detail on circumstances which may allow employer HSA contributions to be recovered in IRS Notice 2008-59 and IRS Information Letter No. 2018-0033 (dated Sept. 9, 2015).</w:t>
      </w:r>
    </w:p>
    <w:p w14:paraId="4028DC67" w14:textId="77777777" w:rsidR="00B22913" w:rsidRDefault="00B22913" w:rsidP="00B22913">
      <w:pPr>
        <w:pStyle w:val="Heading2"/>
      </w:pPr>
      <w:r>
        <w:t>Timing of Contributions</w:t>
      </w:r>
    </w:p>
    <w:p w14:paraId="7A9C44D7" w14:textId="77777777" w:rsidR="00B22913" w:rsidRDefault="00B22913" w:rsidP="00B22913">
      <w:r w:rsidRPr="00194647">
        <w:t xml:space="preserve">Contributions </w:t>
      </w:r>
      <w:r>
        <w:t xml:space="preserve">for any given year </w:t>
      </w:r>
      <w:r w:rsidRPr="00194647">
        <w:t xml:space="preserve">may not be made </w:t>
      </w:r>
      <w:r w:rsidRPr="00531625">
        <w:rPr>
          <w:b/>
        </w:rPr>
        <w:t>before</w:t>
      </w:r>
      <w:r w:rsidRPr="00194647">
        <w:t xml:space="preserve"> the tax year begins</w:t>
      </w:r>
      <w:r w:rsidR="00E27A9A">
        <w:t xml:space="preserve"> (January 1)</w:t>
      </w:r>
      <w:r>
        <w:t xml:space="preserve"> or</w:t>
      </w:r>
      <w:r w:rsidR="00E27A9A">
        <w:t>, if later,</w:t>
      </w:r>
      <w:r>
        <w:t xml:space="preserve"> before the HSA is established</w:t>
      </w:r>
      <w:r w:rsidR="00B23DCF">
        <w:t>;</w:t>
      </w:r>
      <w:r w:rsidRPr="00194647">
        <w:t xml:space="preserve"> </w:t>
      </w:r>
      <w:r w:rsidR="00E27A9A">
        <w:t>n</w:t>
      </w:r>
      <w:r w:rsidRPr="00194647">
        <w:t xml:space="preserve">or </w:t>
      </w:r>
      <w:r w:rsidR="00E27A9A">
        <w:t xml:space="preserve">can they be made </w:t>
      </w:r>
      <w:r w:rsidRPr="00531625">
        <w:rPr>
          <w:b/>
        </w:rPr>
        <w:t>after</w:t>
      </w:r>
      <w:r w:rsidRPr="00194647">
        <w:t xml:space="preserve"> the original filing due date for the individual’s tax return</w:t>
      </w:r>
      <w:r>
        <w:t xml:space="preserve"> (generally April of the following year). </w:t>
      </w:r>
      <w:r w:rsidR="00E27A9A">
        <w:t xml:space="preserve">Contributions </w:t>
      </w:r>
      <w:r>
        <w:t xml:space="preserve">can be made in monthly amounts or in another periodic lump sum (or lump sums). </w:t>
      </w:r>
    </w:p>
    <w:p w14:paraId="5809DBBF" w14:textId="77777777" w:rsidR="00322CC8" w:rsidRDefault="00B22913" w:rsidP="00326D76">
      <w:r>
        <w:t>If an employee elects to make HSA contributions on a pre-tax basis through a cafeteria plan, it is necessary to follow §125 election change rules. §125 rules require the plan to allow HSA election changes to be made at least monthly, without any reason (at the employee’s discretion), but the changes may only be made prospectively.</w:t>
      </w:r>
    </w:p>
    <w:p w14:paraId="0D40211B" w14:textId="77777777" w:rsidR="00A6571A" w:rsidRDefault="00A6571A" w:rsidP="00326D76"/>
    <w:p w14:paraId="7042BFCE" w14:textId="77777777" w:rsidR="002545CC" w:rsidRDefault="002545CC" w:rsidP="00326D76"/>
    <w:p w14:paraId="4BC5281D" w14:textId="77777777" w:rsidR="00B22913" w:rsidRPr="00C12503" w:rsidRDefault="00B22913" w:rsidP="00B22913">
      <w:pPr>
        <w:pStyle w:val="Heading2"/>
      </w:pPr>
      <w:r>
        <w:t>Who May Contribute</w:t>
      </w:r>
    </w:p>
    <w:p w14:paraId="65A0B820" w14:textId="77777777" w:rsidR="00B22913" w:rsidRPr="008E04EA" w:rsidRDefault="00B22913" w:rsidP="00B22913">
      <w:pPr>
        <w:rPr>
          <w:rFonts w:cs="Arial"/>
          <w:color w:val="252525"/>
        </w:rPr>
      </w:pPr>
      <w:r w:rsidRPr="008E04EA">
        <w:rPr>
          <w:rFonts w:cs="Arial"/>
          <w:color w:val="252525"/>
        </w:rPr>
        <w:t>HSA contributions may be made by the HSA account holder or by any other person, including an employer or family member, but are generally made by either the employee or the employer.</w:t>
      </w:r>
    </w:p>
    <w:p w14:paraId="61C48A6D" w14:textId="77777777" w:rsidR="00B22913" w:rsidRDefault="005D6DD1" w:rsidP="00B22913">
      <w:pPr>
        <w:pStyle w:val="Heading2"/>
        <w:rPr>
          <w:u w:val="single"/>
        </w:rPr>
      </w:pPr>
      <w:r>
        <w:t>Considerations for Employee Contributions</w:t>
      </w:r>
    </w:p>
    <w:p w14:paraId="4BFF5987" w14:textId="77777777" w:rsidR="00B22913" w:rsidRPr="004B3E5D" w:rsidRDefault="00B22913" w:rsidP="00B22913">
      <w:r>
        <w:t>Employee c</w:t>
      </w:r>
      <w:r w:rsidRPr="00194647">
        <w:t>ontributions</w:t>
      </w:r>
      <w:r>
        <w:t xml:space="preserve"> may be made on a p</w:t>
      </w:r>
      <w:r w:rsidRPr="00194647">
        <w:t>re-tax</w:t>
      </w:r>
      <w:r>
        <w:t xml:space="preserve"> basis</w:t>
      </w:r>
      <w:r w:rsidRPr="00194647">
        <w:t xml:space="preserve"> through a </w:t>
      </w:r>
      <w:r w:rsidRPr="00B22913">
        <w:rPr>
          <w:rFonts w:cs="Calibri"/>
        </w:rPr>
        <w:t>§</w:t>
      </w:r>
      <w:r>
        <w:t>125 cafeteria plan if allowed by the employer,</w:t>
      </w:r>
      <w:r w:rsidRPr="00194647">
        <w:t xml:space="preserve"> or </w:t>
      </w:r>
      <w:r>
        <w:t>made d</w:t>
      </w:r>
      <w:r w:rsidRPr="00194647">
        <w:t>irectly</w:t>
      </w:r>
      <w:r>
        <w:t xml:space="preserve"> into the HSA on an after-tax basis</w:t>
      </w:r>
      <w:r w:rsidRPr="00194647">
        <w:t xml:space="preserve"> and </w:t>
      </w:r>
      <w:r>
        <w:t xml:space="preserve">then be taken as an “above the line” </w:t>
      </w:r>
      <w:r w:rsidRPr="00194647">
        <w:t>deduction</w:t>
      </w:r>
      <w:r>
        <w:t xml:space="preserve"> on the individual’s tax return. In either case, the taxation ends up working out </w:t>
      </w:r>
      <w:r w:rsidR="00E831C9">
        <w:t xml:space="preserve">about </w:t>
      </w:r>
      <w:r>
        <w:t>the same</w:t>
      </w:r>
      <w:r w:rsidR="000B321A">
        <w:t xml:space="preserve"> for the employee,</w:t>
      </w:r>
      <w:r>
        <w:t xml:space="preserve"> but it may be administratively easier for the employee to be able to make pre-tax contributions directly from payroll through a cafeteria plan</w:t>
      </w:r>
      <w:r w:rsidR="0066452D">
        <w:t xml:space="preserve">. NOTE: Wages paid through a cafeteria plan </w:t>
      </w:r>
      <w:r w:rsidR="000B321A">
        <w:t>save</w:t>
      </w:r>
      <w:r>
        <w:t xml:space="preserve"> the employer </w:t>
      </w:r>
      <w:r w:rsidR="00B23DCF">
        <w:t xml:space="preserve">money </w:t>
      </w:r>
      <w:r>
        <w:t>on payroll taxes</w:t>
      </w:r>
      <w:r w:rsidR="00E831C9">
        <w:t xml:space="preserve"> and save the employee</w:t>
      </w:r>
      <w:r w:rsidR="000B321A">
        <w:t xml:space="preserve"> money</w:t>
      </w:r>
      <w:r w:rsidR="00E831C9">
        <w:t xml:space="preserve"> on FICA</w:t>
      </w:r>
      <w:r w:rsidR="005E0B0E">
        <w:t xml:space="preserve"> taxes</w:t>
      </w:r>
      <w:r w:rsidR="000B321A">
        <w:t>, so there is some tax advantage to running the employee contributions through the cafeteria plan</w:t>
      </w:r>
      <w:r>
        <w:t xml:space="preserve">.  </w:t>
      </w:r>
    </w:p>
    <w:p w14:paraId="1E1A7965" w14:textId="77777777" w:rsidR="00ED53A7" w:rsidRDefault="005D6DD1" w:rsidP="00B22913">
      <w:r>
        <w:t xml:space="preserve">If the employer allows for pre-tax HSA contributions through its cafeteria plan, </w:t>
      </w:r>
      <w:r w:rsidR="0011725E">
        <w:t xml:space="preserve">then as noted above under “Timing of Contributions,” </w:t>
      </w:r>
      <w:r>
        <w:t xml:space="preserve">salary reduction elections are not subject to the irrevocability rules that otherwise apply to other benefits offered through a cafeteria plan. Employee HSA contributions can be changed at any time during the year as long as the change is made prospectively, and employers are required to allow employees to change HSA elections </w:t>
      </w:r>
      <w:r>
        <w:rPr>
          <w:u w:val="single"/>
        </w:rPr>
        <w:t>at least monthly</w:t>
      </w:r>
      <w:r>
        <w:t>. The reason for the contribution change (e.g., an unexpected medical cost) wouldn’t matter. See</w:t>
      </w:r>
      <w:r>
        <w:rPr>
          <w:color w:val="002060"/>
        </w:rPr>
        <w:t xml:space="preserve"> </w:t>
      </w:r>
      <w:r w:rsidRPr="009F7FB4">
        <w:t>Notice 2004-50</w:t>
      </w:r>
      <w:r>
        <w:rPr>
          <w:color w:val="002060"/>
        </w:rPr>
        <w:t xml:space="preserve"> </w:t>
      </w:r>
      <w:r>
        <w:t>(Q-58).</w:t>
      </w:r>
    </w:p>
    <w:p w14:paraId="78AFDA00" w14:textId="77777777" w:rsidR="002A080D" w:rsidRPr="005D6DD1" w:rsidRDefault="002A080D" w:rsidP="00B22913">
      <w:r>
        <w:t xml:space="preserve">NOTE: </w:t>
      </w:r>
      <w:r w:rsidRPr="002A080D">
        <w:t>Individuals considered to be self-employed (i.e.</w:t>
      </w:r>
      <w:r w:rsidR="00B23DCF">
        <w:t>,</w:t>
      </w:r>
      <w:r w:rsidRPr="002A080D">
        <w:t xml:space="preserve"> a sole proprietor, a partner in a partnership, or a director serving on the corporation’s board of directors) or </w:t>
      </w:r>
      <w:r w:rsidR="00B23DCF">
        <w:t xml:space="preserve">a </w:t>
      </w:r>
      <w:r w:rsidRPr="002A080D">
        <w:t>more-than-2% shareholder of an S-Corporation are not considered employees and are not able to participate in tax-favored options such as cafeteria plans</w:t>
      </w:r>
      <w:r>
        <w:t>, and therefore may not make HSA contributions on a pre-tax basis. Such individuals would have to make contributions on an after-tax basis and then could take an above-the-line deduction when filing their personal tax return</w:t>
      </w:r>
      <w:r w:rsidR="0038646D">
        <w:t>s</w:t>
      </w:r>
      <w:r>
        <w:t>.</w:t>
      </w:r>
    </w:p>
    <w:p w14:paraId="0D4B28B1" w14:textId="77777777" w:rsidR="005D6DD1" w:rsidRDefault="005D6DD1" w:rsidP="005D6DD1">
      <w:pPr>
        <w:pStyle w:val="Heading2"/>
      </w:pPr>
      <w:r>
        <w:t>Considerations for Employer Contributions</w:t>
      </w:r>
    </w:p>
    <w:p w14:paraId="1764B6FD" w14:textId="77777777" w:rsidR="00664254" w:rsidRPr="00521970" w:rsidRDefault="005D6DD1" w:rsidP="00521970">
      <w:pPr>
        <w:rPr>
          <w:szCs w:val="22"/>
        </w:rPr>
      </w:pPr>
      <w:r w:rsidRPr="00E45014">
        <w:rPr>
          <w:szCs w:val="22"/>
        </w:rPr>
        <w:t xml:space="preserve">Employer contributions can be made outside a cafeteria plan, or through a cafeteria plan if the employer also allows employees to contribute on a pre-tax basis. </w:t>
      </w:r>
      <w:r w:rsidR="0062410C" w:rsidRPr="00A6571A">
        <w:rPr>
          <w:szCs w:val="22"/>
        </w:rPr>
        <w:t xml:space="preserve">Regardless, employer HSA contributions made to an employee’s HSA may be provided on a tax-favored basis, </w:t>
      </w:r>
      <w:r w:rsidR="0062410C" w:rsidRPr="00A6571A">
        <w:rPr>
          <w:rFonts w:cs="Arial"/>
          <w:color w:val="252525"/>
          <w:szCs w:val="22"/>
        </w:rPr>
        <w:t xml:space="preserve">if it is reasonable to believe, at the time of the contribution, that the contribution will be excludable from the employee’s income. </w:t>
      </w:r>
      <w:r w:rsidR="00521970" w:rsidRPr="00A6571A">
        <w:rPr>
          <w:rFonts w:cs="Arial"/>
          <w:color w:val="252525"/>
          <w:szCs w:val="22"/>
        </w:rPr>
        <w:t>The employer</w:t>
      </w:r>
      <w:r w:rsidR="00B23DCF" w:rsidRPr="00A6571A">
        <w:rPr>
          <w:rFonts w:cs="Arial"/>
          <w:color w:val="252525"/>
          <w:szCs w:val="22"/>
        </w:rPr>
        <w:t>’</w:t>
      </w:r>
      <w:r w:rsidR="00521970" w:rsidRPr="00A6571A">
        <w:rPr>
          <w:rFonts w:cs="Arial"/>
          <w:color w:val="252525"/>
          <w:szCs w:val="22"/>
        </w:rPr>
        <w:t>s responsibility in regard to determining HSA</w:t>
      </w:r>
      <w:r w:rsidR="00B23DCF" w:rsidRPr="00ED2263">
        <w:rPr>
          <w:rFonts w:cs="Arial"/>
          <w:color w:val="252525"/>
          <w:szCs w:val="22"/>
        </w:rPr>
        <w:t xml:space="preserve"> </w:t>
      </w:r>
      <w:r w:rsidR="00521970" w:rsidRPr="00ED2263">
        <w:rPr>
          <w:rFonts w:cs="Arial"/>
          <w:color w:val="252525"/>
          <w:szCs w:val="22"/>
        </w:rPr>
        <w:t>eligibility is fairly limited.</w:t>
      </w:r>
      <w:r w:rsidR="00521970" w:rsidRPr="00855B2B">
        <w:rPr>
          <w:rFonts w:cs="Arial"/>
          <w:color w:val="252525"/>
          <w:szCs w:val="22"/>
        </w:rPr>
        <w:t xml:space="preserve"> Employers are responsible for determining</w:t>
      </w:r>
      <w:r w:rsidR="00B23DCF">
        <w:rPr>
          <w:rFonts w:cs="Arial"/>
          <w:color w:val="252525"/>
          <w:szCs w:val="22"/>
        </w:rPr>
        <w:t xml:space="preserve"> only</w:t>
      </w:r>
      <w:r w:rsidR="00521970" w:rsidRPr="00855B2B">
        <w:rPr>
          <w:rFonts w:cs="Arial"/>
          <w:color w:val="252525"/>
          <w:szCs w:val="22"/>
        </w:rPr>
        <w:t>: (1) whether the employee is covered under an HDHP or low</w:t>
      </w:r>
      <w:r w:rsidR="00B23DCF">
        <w:rPr>
          <w:rFonts w:cs="Arial"/>
          <w:color w:val="252525"/>
          <w:szCs w:val="22"/>
        </w:rPr>
        <w:t>-</w:t>
      </w:r>
      <w:r w:rsidR="00521970" w:rsidRPr="00855B2B">
        <w:rPr>
          <w:rFonts w:cs="Arial"/>
          <w:color w:val="252525"/>
          <w:szCs w:val="22"/>
        </w:rPr>
        <w:t>deductible health plan or plans (including health FSAs and HRAs) sponsored by that employer; and (2) the employee</w:t>
      </w:r>
      <w:r w:rsidR="00B23DCF">
        <w:rPr>
          <w:rFonts w:cs="Arial"/>
          <w:color w:val="252525"/>
          <w:szCs w:val="22"/>
        </w:rPr>
        <w:t>’</w:t>
      </w:r>
      <w:r w:rsidR="00521970" w:rsidRPr="00855B2B">
        <w:rPr>
          <w:rFonts w:cs="Arial"/>
          <w:color w:val="252525"/>
          <w:szCs w:val="22"/>
        </w:rPr>
        <w:t>s age (for catch-up contributions). The employer may rely on the employee</w:t>
      </w:r>
      <w:r w:rsidR="00B23DCF">
        <w:rPr>
          <w:rFonts w:cs="Arial"/>
          <w:color w:val="252525"/>
          <w:szCs w:val="22"/>
        </w:rPr>
        <w:t>’</w:t>
      </w:r>
      <w:r w:rsidR="00521970" w:rsidRPr="00855B2B">
        <w:rPr>
          <w:rFonts w:cs="Arial"/>
          <w:color w:val="252525"/>
          <w:szCs w:val="22"/>
        </w:rPr>
        <w:t xml:space="preserve">s representation as to his or her date of birth. </w:t>
      </w:r>
    </w:p>
    <w:p w14:paraId="0DCCD397" w14:textId="77777777" w:rsidR="005D6DD1" w:rsidRPr="00E45014" w:rsidRDefault="00C64B1A" w:rsidP="00E45014">
      <w:pPr>
        <w:pStyle w:val="BodyText"/>
        <w:rPr>
          <w:sz w:val="22"/>
          <w:szCs w:val="22"/>
        </w:rPr>
      </w:pPr>
      <w:r w:rsidRPr="00E45014">
        <w:rPr>
          <w:sz w:val="22"/>
          <w:szCs w:val="22"/>
        </w:rPr>
        <w:t xml:space="preserve">On the other hand, </w:t>
      </w:r>
      <w:r w:rsidRPr="00E45014">
        <w:rPr>
          <w:rFonts w:cs="Arial"/>
          <w:sz w:val="22"/>
          <w:szCs w:val="22"/>
        </w:rPr>
        <w:t xml:space="preserve">if contributions are deposited in the HSA of a </w:t>
      </w:r>
      <w:r w:rsidR="00664254">
        <w:rPr>
          <w:rFonts w:cs="Arial"/>
          <w:sz w:val="22"/>
          <w:szCs w:val="22"/>
        </w:rPr>
        <w:t>non-employee (e.g.</w:t>
      </w:r>
      <w:r w:rsidR="00B23DCF">
        <w:rPr>
          <w:rFonts w:cs="Arial"/>
          <w:sz w:val="22"/>
          <w:szCs w:val="22"/>
        </w:rPr>
        <w:t>,</w:t>
      </w:r>
      <w:r w:rsidR="00664254">
        <w:rPr>
          <w:rFonts w:cs="Arial"/>
          <w:sz w:val="22"/>
          <w:szCs w:val="22"/>
        </w:rPr>
        <w:t xml:space="preserve"> </w:t>
      </w:r>
      <w:r w:rsidRPr="00E45014">
        <w:rPr>
          <w:rFonts w:cs="Arial"/>
          <w:sz w:val="22"/>
          <w:szCs w:val="22"/>
        </w:rPr>
        <w:t>spouse</w:t>
      </w:r>
      <w:r w:rsidR="00664254">
        <w:rPr>
          <w:rFonts w:cs="Arial"/>
          <w:sz w:val="22"/>
          <w:szCs w:val="22"/>
        </w:rPr>
        <w:t xml:space="preserve"> of an employee)</w:t>
      </w:r>
      <w:r w:rsidRPr="00E45014">
        <w:rPr>
          <w:rFonts w:cs="Arial"/>
          <w:sz w:val="22"/>
          <w:szCs w:val="22"/>
        </w:rPr>
        <w:t xml:space="preserve">, the amounts contributed would </w:t>
      </w:r>
      <w:r w:rsidR="00664254">
        <w:rPr>
          <w:rFonts w:cs="Arial"/>
          <w:sz w:val="22"/>
          <w:szCs w:val="22"/>
        </w:rPr>
        <w:t xml:space="preserve">generally </w:t>
      </w:r>
      <w:r w:rsidRPr="00E45014">
        <w:rPr>
          <w:rFonts w:cs="Arial"/>
          <w:sz w:val="22"/>
          <w:szCs w:val="22"/>
        </w:rPr>
        <w:t>need to be treated as taxable income to the employee (see IRS Notice 2008-59, Q&amp;A #26).</w:t>
      </w:r>
      <w:r w:rsidR="002A080D" w:rsidRPr="00E45014">
        <w:rPr>
          <w:rFonts w:cs="Arial"/>
          <w:sz w:val="22"/>
          <w:szCs w:val="22"/>
        </w:rPr>
        <w:t xml:space="preserve"> </w:t>
      </w:r>
      <w:r w:rsidR="00664254">
        <w:rPr>
          <w:rFonts w:cs="Arial"/>
          <w:sz w:val="22"/>
          <w:szCs w:val="22"/>
        </w:rPr>
        <w:t>E</w:t>
      </w:r>
      <w:r w:rsidR="002A080D" w:rsidRPr="00E45014">
        <w:rPr>
          <w:rFonts w:cs="Arial"/>
          <w:sz w:val="22"/>
          <w:szCs w:val="22"/>
        </w:rPr>
        <w:t>mployer contributions to a partner</w:t>
      </w:r>
      <w:r w:rsidR="00D1473F" w:rsidRPr="00E45014">
        <w:rPr>
          <w:rFonts w:cs="Arial"/>
          <w:sz w:val="22"/>
          <w:szCs w:val="22"/>
        </w:rPr>
        <w:t>’s</w:t>
      </w:r>
      <w:r w:rsidR="002A080D" w:rsidRPr="00E45014">
        <w:rPr>
          <w:rFonts w:cs="Arial"/>
          <w:sz w:val="22"/>
          <w:szCs w:val="22"/>
        </w:rPr>
        <w:t xml:space="preserve"> or S-Corp </w:t>
      </w:r>
      <w:r w:rsidR="00E45014" w:rsidRPr="00E45014">
        <w:rPr>
          <w:rFonts w:cs="Arial"/>
          <w:sz w:val="22"/>
          <w:szCs w:val="22"/>
        </w:rPr>
        <w:t xml:space="preserve">2% or more </w:t>
      </w:r>
      <w:r w:rsidR="002A080D" w:rsidRPr="00E45014">
        <w:rPr>
          <w:rFonts w:cs="Arial"/>
          <w:sz w:val="22"/>
          <w:szCs w:val="22"/>
        </w:rPr>
        <w:t xml:space="preserve">shareholder’s </w:t>
      </w:r>
      <w:r w:rsidR="00D1473F" w:rsidRPr="00E45014">
        <w:rPr>
          <w:rFonts w:cs="Arial"/>
          <w:sz w:val="22"/>
          <w:szCs w:val="22"/>
        </w:rPr>
        <w:t xml:space="preserve">HSA may need to be handled </w:t>
      </w:r>
      <w:r w:rsidR="0038646D">
        <w:rPr>
          <w:rFonts w:cs="Arial"/>
          <w:sz w:val="22"/>
          <w:szCs w:val="22"/>
        </w:rPr>
        <w:t>as taxable compensation</w:t>
      </w:r>
      <w:r w:rsidR="00B23DCF">
        <w:rPr>
          <w:rFonts w:cs="Arial"/>
          <w:sz w:val="22"/>
          <w:szCs w:val="22"/>
        </w:rPr>
        <w:t>,</w:t>
      </w:r>
      <w:r w:rsidR="00D1473F" w:rsidRPr="00E45014">
        <w:rPr>
          <w:rFonts w:cs="Arial"/>
          <w:sz w:val="22"/>
          <w:szCs w:val="22"/>
        </w:rPr>
        <w:t xml:space="preserve"> depending upon the circumstances. </w:t>
      </w:r>
      <w:r w:rsidR="00E45014" w:rsidRPr="00E45014">
        <w:rPr>
          <w:sz w:val="22"/>
          <w:szCs w:val="22"/>
        </w:rPr>
        <w:t xml:space="preserve">See </w:t>
      </w:r>
      <w:r w:rsidR="00D1473F" w:rsidRPr="00E45014">
        <w:rPr>
          <w:sz w:val="22"/>
          <w:szCs w:val="22"/>
        </w:rPr>
        <w:t>IRS Notice 2005-8</w:t>
      </w:r>
      <w:r w:rsidR="00664254">
        <w:rPr>
          <w:sz w:val="22"/>
          <w:szCs w:val="22"/>
        </w:rPr>
        <w:t xml:space="preserve"> for details</w:t>
      </w:r>
      <w:r w:rsidR="00E45014" w:rsidRPr="00E45014">
        <w:rPr>
          <w:sz w:val="22"/>
          <w:szCs w:val="22"/>
        </w:rPr>
        <w:t>.</w:t>
      </w:r>
    </w:p>
    <w:p w14:paraId="05DE0CDE" w14:textId="77777777" w:rsidR="005D6DD1" w:rsidRPr="004B3E5D" w:rsidRDefault="005D6DD1" w:rsidP="005D6DD1">
      <w:pPr>
        <w:pStyle w:val="Heading3"/>
      </w:pPr>
      <w:r w:rsidRPr="004B3E5D">
        <w:t>Employer Contributions Made Outside a Cafeteria Plan</w:t>
      </w:r>
    </w:p>
    <w:p w14:paraId="32A05F4A" w14:textId="77777777" w:rsidR="005D6DD1" w:rsidRDefault="005D6DD1" w:rsidP="005D6DD1">
      <w:r w:rsidRPr="00C12503">
        <w:t xml:space="preserve">Employer contributions made outside a cafeteria plan are subject to </w:t>
      </w:r>
      <w:r w:rsidRPr="005D6DD1">
        <w:rPr>
          <w:b/>
        </w:rPr>
        <w:t>the comparability rules</w:t>
      </w:r>
      <w:r>
        <w:t>, which require that an employer make the same contribution amount (or the same percentage of the deductible) for all HSA-eligible employees in a given tier (e.g.</w:t>
      </w:r>
      <w:r w:rsidR="00B23DCF">
        <w:t>,</w:t>
      </w:r>
      <w:r>
        <w:t xml:space="preserve"> </w:t>
      </w:r>
      <w:r w:rsidR="0011725E">
        <w:t>single</w:t>
      </w:r>
      <w:r>
        <w:t xml:space="preserve"> or family) in the same non-collectively bargained employee category. These categories are: </w:t>
      </w:r>
    </w:p>
    <w:p w14:paraId="4D746E07" w14:textId="77777777" w:rsidR="005D6DD1" w:rsidRDefault="005D6DD1" w:rsidP="0085172F">
      <w:pPr>
        <w:numPr>
          <w:ilvl w:val="0"/>
          <w:numId w:val="9"/>
        </w:numPr>
        <w:spacing w:after="0"/>
      </w:pPr>
      <w:r>
        <w:t xml:space="preserve">current full-time, </w:t>
      </w:r>
    </w:p>
    <w:p w14:paraId="06ADDBB6" w14:textId="77777777" w:rsidR="005D6DD1" w:rsidRDefault="005D6DD1" w:rsidP="0085172F">
      <w:pPr>
        <w:numPr>
          <w:ilvl w:val="0"/>
          <w:numId w:val="9"/>
        </w:numPr>
        <w:spacing w:after="0"/>
      </w:pPr>
      <w:r>
        <w:t xml:space="preserve">current part-time, or </w:t>
      </w:r>
    </w:p>
    <w:p w14:paraId="56D28E70" w14:textId="77777777" w:rsidR="005D6DD1" w:rsidRDefault="005D6DD1" w:rsidP="00676C04">
      <w:pPr>
        <w:numPr>
          <w:ilvl w:val="0"/>
          <w:numId w:val="9"/>
        </w:numPr>
      </w:pPr>
      <w:r>
        <w:t xml:space="preserve">former employees. </w:t>
      </w:r>
    </w:p>
    <w:p w14:paraId="66AF36CD" w14:textId="77777777" w:rsidR="00715485" w:rsidRDefault="005D6DD1" w:rsidP="002545CC">
      <w:r>
        <w:t>Violating the comparability rules with contribution structures such as matching contributions, contributions tied to wellness participation, or contributing more toward a certain class of employees (e.g.</w:t>
      </w:r>
      <w:r w:rsidR="00B23DCF">
        <w:t>,</w:t>
      </w:r>
      <w:r>
        <w:t xml:space="preserve"> management) may incur a 35% excise tax on all HSA contributions the employer makes for the year (including any contributions that otherwise would have complied with the comparability rules).</w:t>
      </w:r>
    </w:p>
    <w:p w14:paraId="6AD647B0" w14:textId="77777777" w:rsidR="005D6DD1" w:rsidRPr="004B3E5D" w:rsidRDefault="005D6DD1" w:rsidP="005D6DD1">
      <w:pPr>
        <w:pStyle w:val="Heading3"/>
      </w:pPr>
      <w:r w:rsidRPr="004B3E5D">
        <w:t>Employer Contributions Made Through a Cafeteria Plan</w:t>
      </w:r>
    </w:p>
    <w:p w14:paraId="39891663" w14:textId="77777777" w:rsidR="005D6DD1" w:rsidRDefault="005D6DD1" w:rsidP="008E04EA">
      <w:pPr>
        <w:spacing w:after="0"/>
        <w:rPr>
          <w:rFonts w:cs="Calibri"/>
        </w:rPr>
      </w:pPr>
      <w:r w:rsidRPr="0092516B">
        <w:t xml:space="preserve">Employer contributions </w:t>
      </w:r>
      <w:r>
        <w:t xml:space="preserve">made </w:t>
      </w:r>
      <w:r w:rsidRPr="0092516B">
        <w:t xml:space="preserve">through a cafeteria plan are not subject to comparability rules, but are subject to </w:t>
      </w:r>
      <w:r w:rsidRPr="005D6DD1">
        <w:rPr>
          <w:rFonts w:cs="Calibri"/>
          <w:b/>
        </w:rPr>
        <w:t>§125 nondiscrimination rules</w:t>
      </w:r>
      <w:r w:rsidRPr="005D6DD1">
        <w:rPr>
          <w:rFonts w:cs="Calibri"/>
        </w:rPr>
        <w:t xml:space="preserve">, which </w:t>
      </w:r>
      <w:r w:rsidR="0038646D">
        <w:rPr>
          <w:rFonts w:cs="Calibri"/>
        </w:rPr>
        <w:t>restrict the ability for employers to</w:t>
      </w:r>
      <w:r w:rsidRPr="005D6DD1">
        <w:rPr>
          <w:rFonts w:cs="Calibri"/>
        </w:rPr>
        <w:t xml:space="preserve"> favor highly compensated individuals</w:t>
      </w:r>
      <w:r w:rsidR="0038646D">
        <w:rPr>
          <w:rFonts w:cs="Calibri"/>
        </w:rPr>
        <w:t xml:space="preserve"> or key employees on a tax-favored basis</w:t>
      </w:r>
      <w:r w:rsidRPr="005D6DD1">
        <w:rPr>
          <w:rFonts w:cs="Calibri"/>
        </w:rPr>
        <w:t>. By offering HSA contributions through a cafeteria plan, the employer has more flexibility to offer differing contributions (e.g.</w:t>
      </w:r>
      <w:r w:rsidR="009C0546">
        <w:rPr>
          <w:rFonts w:cs="Calibri"/>
        </w:rPr>
        <w:t>,</w:t>
      </w:r>
      <w:r w:rsidRPr="005D6DD1">
        <w:rPr>
          <w:rFonts w:cs="Calibri"/>
        </w:rPr>
        <w:t xml:space="preserve"> matching contributions, or contributions by class of employee) so long as it does not cause an issue under §125 </w:t>
      </w:r>
      <w:r>
        <w:rPr>
          <w:rFonts w:cs="Calibri"/>
        </w:rPr>
        <w:t xml:space="preserve">nondiscrimination </w:t>
      </w:r>
      <w:r w:rsidRPr="005D6DD1">
        <w:rPr>
          <w:rFonts w:cs="Calibri"/>
        </w:rPr>
        <w:t xml:space="preserve">rules. That being the case, keep in mind that all benefits offered through a cafeteria plan are aggregated for purposes of discrimination testing.  </w:t>
      </w:r>
    </w:p>
    <w:p w14:paraId="5B2C99B9" w14:textId="77777777" w:rsidR="005D6DD1" w:rsidRPr="005D6DD1" w:rsidRDefault="005D6DD1" w:rsidP="005D6DD1">
      <w:pPr>
        <w:pStyle w:val="Heading3"/>
      </w:pPr>
      <w:r>
        <w:t>Timing of Employer Contributions</w:t>
      </w:r>
    </w:p>
    <w:p w14:paraId="59122C2A" w14:textId="77777777" w:rsidR="005D6DD1" w:rsidRDefault="0038646D" w:rsidP="005D6DD1">
      <w:r>
        <w:t>A</w:t>
      </w:r>
      <w:r w:rsidR="009C0546">
        <w:t>llocating</w:t>
      </w:r>
      <w:r w:rsidR="005D6DD1">
        <w:t xml:space="preserve"> a lump sum at the beginning of the year may seem easier administratively</w:t>
      </w:r>
      <w:r w:rsidR="00EB63B2">
        <w:t xml:space="preserve">, </w:t>
      </w:r>
      <w:r>
        <w:t xml:space="preserve">but </w:t>
      </w:r>
      <w:r w:rsidR="00EB63B2">
        <w:t>it may make more sense to divide the annual contribution up quarterly or monthly</w:t>
      </w:r>
      <w:r w:rsidR="009C0546">
        <w:t>,</w:t>
      </w:r>
      <w:r w:rsidR="00EB63B2">
        <w:t xml:space="preserve"> for the following reasons</w:t>
      </w:r>
      <w:r w:rsidR="005D6DD1">
        <w:t xml:space="preserve">: </w:t>
      </w:r>
    </w:p>
    <w:p w14:paraId="29353EEC" w14:textId="77777777" w:rsidR="005D6DD1" w:rsidRDefault="005D6DD1" w:rsidP="00676C04">
      <w:pPr>
        <w:numPr>
          <w:ilvl w:val="0"/>
          <w:numId w:val="8"/>
        </w:numPr>
        <w:spacing w:after="0"/>
      </w:pPr>
      <w:r>
        <w:t>Employer contributions to HSAs are generally non</w:t>
      </w:r>
      <w:r w:rsidR="009C0546">
        <w:t>-</w:t>
      </w:r>
      <w:r>
        <w:t>forfeitable. Therefore, the employer will be required to make the full lump sum contribution regardless of whether employees remain employed or eligible all year. </w:t>
      </w:r>
      <w:r w:rsidR="00EB63B2">
        <w:t xml:space="preserve"> </w:t>
      </w:r>
    </w:p>
    <w:p w14:paraId="7ABB9A47" w14:textId="77777777" w:rsidR="00A54300" w:rsidRDefault="005D6DD1" w:rsidP="00676C04">
      <w:pPr>
        <w:numPr>
          <w:ilvl w:val="0"/>
          <w:numId w:val="8"/>
        </w:numPr>
        <w:rPr>
          <w:rFonts w:cs="Arial"/>
          <w:szCs w:val="22"/>
        </w:rPr>
      </w:pPr>
      <w:r w:rsidRPr="00795484">
        <w:t xml:space="preserve">Depending upon the size of the </w:t>
      </w:r>
      <w:r w:rsidR="00EB63B2">
        <w:t>employer contribution</w:t>
      </w:r>
      <w:r w:rsidRPr="00795484">
        <w:t>, it could exceed the employee’s annual contribution maximum if the employee is HSA</w:t>
      </w:r>
      <w:r w:rsidR="009C0546">
        <w:t xml:space="preserve"> </w:t>
      </w:r>
      <w:r w:rsidRPr="00795484">
        <w:t xml:space="preserve">eligible for </w:t>
      </w:r>
      <w:r w:rsidR="009C0546">
        <w:t xml:space="preserve">only </w:t>
      </w:r>
      <w:r w:rsidRPr="00795484">
        <w:t xml:space="preserve">a portion of the year, resulting in excess contributions subject to excise taxes unless the </w:t>
      </w:r>
      <w:r w:rsidRPr="00EB63B2">
        <w:rPr>
          <w:szCs w:val="22"/>
        </w:rPr>
        <w:t>employee obtains a curative distribution. While the employee</w:t>
      </w:r>
      <w:r w:rsidR="005B5363">
        <w:rPr>
          <w:szCs w:val="22"/>
        </w:rPr>
        <w:t xml:space="preserve"> who becomes HSA</w:t>
      </w:r>
      <w:r w:rsidR="009C0546">
        <w:rPr>
          <w:szCs w:val="22"/>
        </w:rPr>
        <w:t xml:space="preserve"> </w:t>
      </w:r>
      <w:r w:rsidR="005B5363">
        <w:rPr>
          <w:szCs w:val="22"/>
        </w:rPr>
        <w:t>eligible mid-plan year</w:t>
      </w:r>
      <w:r w:rsidRPr="00EB63B2">
        <w:rPr>
          <w:szCs w:val="22"/>
        </w:rPr>
        <w:t xml:space="preserve"> might choose to take advantage of the full contribution rule, </w:t>
      </w:r>
      <w:r w:rsidR="00EB63B2">
        <w:rPr>
          <w:szCs w:val="22"/>
        </w:rPr>
        <w:t xml:space="preserve">or be willing to pay the 6% excise tax on any excess contributions, </w:t>
      </w:r>
      <w:r w:rsidRPr="00EB63B2">
        <w:rPr>
          <w:rFonts w:cs="Arial"/>
          <w:szCs w:val="22"/>
        </w:rPr>
        <w:t xml:space="preserve">it would be safer </w:t>
      </w:r>
      <w:r w:rsidR="00EB63B2">
        <w:rPr>
          <w:rFonts w:cs="Arial"/>
          <w:szCs w:val="22"/>
        </w:rPr>
        <w:t>not to make that assumption</w:t>
      </w:r>
      <w:r w:rsidRPr="00EB63B2">
        <w:rPr>
          <w:rFonts w:cs="Arial"/>
          <w:szCs w:val="22"/>
        </w:rPr>
        <w:t xml:space="preserve">. </w:t>
      </w:r>
      <w:r w:rsidR="00A54300">
        <w:rPr>
          <w:rFonts w:cs="Arial"/>
          <w:szCs w:val="22"/>
        </w:rPr>
        <w:t>If the employer chooses to make a lump sum contribution rather than contribut</w:t>
      </w:r>
      <w:r w:rsidR="009C0546">
        <w:rPr>
          <w:rFonts w:cs="Arial"/>
          <w:szCs w:val="22"/>
        </w:rPr>
        <w:t>e</w:t>
      </w:r>
      <w:r w:rsidR="00A54300">
        <w:rPr>
          <w:rFonts w:cs="Arial"/>
          <w:szCs w:val="22"/>
        </w:rPr>
        <w:t xml:space="preserve"> throughout the year, the employer will need to make a decision </w:t>
      </w:r>
      <w:r w:rsidR="009C0546">
        <w:rPr>
          <w:rFonts w:cs="Arial"/>
          <w:szCs w:val="22"/>
        </w:rPr>
        <w:t>about</w:t>
      </w:r>
      <w:r w:rsidR="00A54300">
        <w:rPr>
          <w:rFonts w:cs="Arial"/>
          <w:szCs w:val="22"/>
        </w:rPr>
        <w:t xml:space="preserve"> how to handle mid-year enrollment. For example:</w:t>
      </w:r>
    </w:p>
    <w:p w14:paraId="0A1A9EFE" w14:textId="77777777" w:rsidR="00A54300" w:rsidRDefault="0038646D" w:rsidP="00A54300">
      <w:pPr>
        <w:numPr>
          <w:ilvl w:val="1"/>
          <w:numId w:val="8"/>
        </w:numPr>
        <w:rPr>
          <w:rFonts w:cs="Arial"/>
          <w:szCs w:val="22"/>
        </w:rPr>
      </w:pPr>
      <w:r>
        <w:rPr>
          <w:rFonts w:cs="Arial"/>
          <w:szCs w:val="22"/>
        </w:rPr>
        <w:t>Make the e</w:t>
      </w:r>
      <w:r w:rsidR="00A54300">
        <w:rPr>
          <w:rFonts w:cs="Arial"/>
          <w:szCs w:val="22"/>
        </w:rPr>
        <w:t xml:space="preserve">mployer HSA contribution only </w:t>
      </w:r>
      <w:r>
        <w:rPr>
          <w:rFonts w:cs="Arial"/>
          <w:szCs w:val="22"/>
        </w:rPr>
        <w:t>for</w:t>
      </w:r>
      <w:r w:rsidR="00A54300">
        <w:rPr>
          <w:rFonts w:cs="Arial"/>
          <w:szCs w:val="22"/>
        </w:rPr>
        <w:t xml:space="preserve"> those who are HSA</w:t>
      </w:r>
      <w:r w:rsidR="009C0546">
        <w:rPr>
          <w:rFonts w:cs="Arial"/>
          <w:szCs w:val="22"/>
        </w:rPr>
        <w:t xml:space="preserve"> </w:t>
      </w:r>
      <w:r w:rsidR="00A54300">
        <w:rPr>
          <w:rFonts w:cs="Arial"/>
          <w:szCs w:val="22"/>
        </w:rPr>
        <w:t>eligible as of a particular date (e.g.</w:t>
      </w:r>
      <w:r w:rsidR="009C0546">
        <w:rPr>
          <w:rFonts w:cs="Arial"/>
          <w:szCs w:val="22"/>
        </w:rPr>
        <w:t>,</w:t>
      </w:r>
      <w:r w:rsidR="00A54300">
        <w:rPr>
          <w:rFonts w:cs="Arial"/>
          <w:szCs w:val="22"/>
        </w:rPr>
        <w:t xml:space="preserve"> January 1</w:t>
      </w:r>
      <w:r w:rsidR="00A54300" w:rsidRPr="00A54300">
        <w:rPr>
          <w:rFonts w:cs="Arial"/>
          <w:szCs w:val="22"/>
          <w:vertAlign w:val="superscript"/>
        </w:rPr>
        <w:t>st</w:t>
      </w:r>
      <w:r w:rsidR="00A54300">
        <w:rPr>
          <w:rFonts w:cs="Arial"/>
          <w:szCs w:val="22"/>
        </w:rPr>
        <w:t xml:space="preserve">). Those who enroll mid-plan year </w:t>
      </w:r>
      <w:r>
        <w:rPr>
          <w:rFonts w:cs="Arial"/>
          <w:szCs w:val="22"/>
        </w:rPr>
        <w:t>do</w:t>
      </w:r>
      <w:r w:rsidR="00A54300">
        <w:rPr>
          <w:rFonts w:cs="Arial"/>
          <w:szCs w:val="22"/>
        </w:rPr>
        <w:t xml:space="preserve"> not receive an employer HSA contribution;</w:t>
      </w:r>
    </w:p>
    <w:p w14:paraId="3A5219DD" w14:textId="77777777" w:rsidR="00A54300" w:rsidRDefault="00A54300" w:rsidP="00A54300">
      <w:pPr>
        <w:numPr>
          <w:ilvl w:val="1"/>
          <w:numId w:val="8"/>
        </w:numPr>
        <w:rPr>
          <w:rFonts w:cs="Arial"/>
          <w:szCs w:val="22"/>
        </w:rPr>
      </w:pPr>
      <w:r>
        <w:rPr>
          <w:rFonts w:cs="Arial"/>
          <w:szCs w:val="22"/>
        </w:rPr>
        <w:t>P</w:t>
      </w:r>
      <w:r w:rsidR="005D6DD1" w:rsidRPr="00EB63B2">
        <w:rPr>
          <w:rFonts w:cs="Arial"/>
          <w:szCs w:val="22"/>
        </w:rPr>
        <w:t xml:space="preserve">ro-rate </w:t>
      </w:r>
      <w:r>
        <w:rPr>
          <w:rFonts w:cs="Arial"/>
          <w:szCs w:val="22"/>
        </w:rPr>
        <w:t xml:space="preserve">the </w:t>
      </w:r>
      <w:r w:rsidR="005D6DD1" w:rsidRPr="00EB63B2">
        <w:rPr>
          <w:rFonts w:cs="Arial"/>
          <w:szCs w:val="22"/>
        </w:rPr>
        <w:t xml:space="preserve">employer </w:t>
      </w:r>
      <w:r>
        <w:rPr>
          <w:rFonts w:cs="Arial"/>
          <w:szCs w:val="22"/>
        </w:rPr>
        <w:t xml:space="preserve">HSA </w:t>
      </w:r>
      <w:r w:rsidR="005D6DD1" w:rsidRPr="00EB63B2">
        <w:rPr>
          <w:rFonts w:cs="Arial"/>
          <w:szCs w:val="22"/>
        </w:rPr>
        <w:t>contribution</w:t>
      </w:r>
      <w:r>
        <w:rPr>
          <w:rFonts w:cs="Arial"/>
          <w:szCs w:val="22"/>
        </w:rPr>
        <w:t xml:space="preserve"> based on when the employee becomes HSA</w:t>
      </w:r>
      <w:r w:rsidR="009C0546">
        <w:rPr>
          <w:rFonts w:cs="Arial"/>
          <w:szCs w:val="22"/>
        </w:rPr>
        <w:t xml:space="preserve"> </w:t>
      </w:r>
      <w:r>
        <w:rPr>
          <w:rFonts w:cs="Arial"/>
          <w:szCs w:val="22"/>
        </w:rPr>
        <w:t>eligible;</w:t>
      </w:r>
      <w:r w:rsidR="005D6DD1" w:rsidRPr="00EB63B2">
        <w:rPr>
          <w:rFonts w:cs="Arial"/>
          <w:szCs w:val="22"/>
        </w:rPr>
        <w:t xml:space="preserve"> or </w:t>
      </w:r>
    </w:p>
    <w:p w14:paraId="7AB717D6" w14:textId="77777777" w:rsidR="00040A9F" w:rsidRPr="008E04EA" w:rsidRDefault="00A54300" w:rsidP="00A54300">
      <w:pPr>
        <w:numPr>
          <w:ilvl w:val="1"/>
          <w:numId w:val="8"/>
        </w:numPr>
        <w:rPr>
          <w:rFonts w:cs="Arial"/>
          <w:szCs w:val="22"/>
        </w:rPr>
      </w:pPr>
      <w:r>
        <w:rPr>
          <w:rFonts w:cs="Arial"/>
          <w:szCs w:val="22"/>
        </w:rPr>
        <w:t>Make the full employer HSA contribution</w:t>
      </w:r>
      <w:r w:rsidR="005D6DD1" w:rsidRPr="00EB63B2">
        <w:rPr>
          <w:rFonts w:cs="Arial"/>
          <w:szCs w:val="22"/>
        </w:rPr>
        <w:t xml:space="preserve"> to the extent </w:t>
      </w:r>
      <w:r w:rsidR="009C0546">
        <w:rPr>
          <w:rFonts w:cs="Arial"/>
          <w:szCs w:val="22"/>
        </w:rPr>
        <w:t xml:space="preserve">that </w:t>
      </w:r>
      <w:r w:rsidR="005D6DD1" w:rsidRPr="00EB63B2">
        <w:rPr>
          <w:rFonts w:cs="Arial"/>
          <w:szCs w:val="22"/>
        </w:rPr>
        <w:t xml:space="preserve">it doesn't exceed the employee's annual contribution maximum. </w:t>
      </w:r>
    </w:p>
    <w:p w14:paraId="5D1A63CD" w14:textId="77777777" w:rsidR="00040A9F" w:rsidRPr="004B247B" w:rsidRDefault="00040A9F" w:rsidP="00040A9F">
      <w:pPr>
        <w:pStyle w:val="Heading3"/>
      </w:pPr>
      <w:r w:rsidRPr="004B247B">
        <w:t>Employee Fails to Open HSA</w:t>
      </w:r>
    </w:p>
    <w:p w14:paraId="5873A170" w14:textId="77777777" w:rsidR="00040A9F" w:rsidRPr="004143B1" w:rsidRDefault="00040A9F" w:rsidP="00040A9F">
      <w:r w:rsidRPr="00A63E84">
        <w:t xml:space="preserve">If employer </w:t>
      </w:r>
      <w:r>
        <w:t xml:space="preserve">HSA </w:t>
      </w:r>
      <w:r w:rsidRPr="00A63E84">
        <w:t xml:space="preserve">contributions are made through a cafeteria plan, </w:t>
      </w:r>
      <w:r>
        <w:t>ideally the plan document includes language indicating that if accounts are not opened within a particular time frame</w:t>
      </w:r>
      <w:r w:rsidR="009C0546">
        <w:t>,</w:t>
      </w:r>
      <w:r>
        <w:t xml:space="preserve"> the employer is not obligated to make any employer contributions. However, there are no specific rules or regulations that would be violated if the employer HSA contributions are not made for those who fail to establish an HSA in accordance with the employer’s policy.</w:t>
      </w:r>
      <w:r w:rsidR="003846D5">
        <w:t xml:space="preserve"> In addition, if the employee elected to make pre-tax HSA contributions, the employer should </w:t>
      </w:r>
      <w:r w:rsidR="003846D5" w:rsidRPr="003846D5">
        <w:t>return any employee HSA contributions as taxable income.</w:t>
      </w:r>
    </w:p>
    <w:p w14:paraId="67052A17" w14:textId="77777777" w:rsidR="00040A9F" w:rsidRPr="00A63E84" w:rsidRDefault="00040A9F" w:rsidP="00040A9F">
      <w:r>
        <w:t>On the other hand, i</w:t>
      </w:r>
      <w:r w:rsidRPr="00A63E84">
        <w:t xml:space="preserve">f contributions are made outside of a cafeteria plan, </w:t>
      </w:r>
      <w:r>
        <w:t xml:space="preserve">the </w:t>
      </w:r>
      <w:r w:rsidRPr="00A63E84">
        <w:t>comparability rules require</w:t>
      </w:r>
      <w:r>
        <w:t xml:space="preserve"> the following process to be followed</w:t>
      </w:r>
      <w:r w:rsidRPr="00A63E84">
        <w:t>:</w:t>
      </w:r>
    </w:p>
    <w:p w14:paraId="4C2C9D7B" w14:textId="77777777" w:rsidR="00040A9F" w:rsidRPr="00A63E84" w:rsidRDefault="00DB79C5" w:rsidP="00676C04">
      <w:pPr>
        <w:numPr>
          <w:ilvl w:val="0"/>
          <w:numId w:val="10"/>
        </w:numPr>
        <w:spacing w:after="160" w:line="259" w:lineRule="auto"/>
      </w:pPr>
      <w:r>
        <w:t>The e</w:t>
      </w:r>
      <w:r w:rsidR="00040A9F" w:rsidRPr="00A63E84">
        <w:t>mployer must provide a written notice stating that each eligible employee, by the end of February of the following calendar year</w:t>
      </w:r>
      <w:r w:rsidR="009C0546">
        <w:t>,</w:t>
      </w:r>
      <w:r w:rsidR="00040A9F" w:rsidRPr="00A63E84">
        <w:t xml:space="preserve"> must establish an HSA and notify the employer to receive a comparable contribution to the HSA for the current calendar year. The notice must be provided no earlier than 90 days before the employer makes its first HSA contribution for the year and no later than January 15 of the following calendar year. A model notice is available</w:t>
      </w:r>
      <w:r w:rsidR="00040A9F">
        <w:t xml:space="preserve"> in Treas. Reg. §54.4980G-4, Q/A-14(c).</w:t>
      </w:r>
    </w:p>
    <w:p w14:paraId="66A24B74" w14:textId="77777777" w:rsidR="00715485" w:rsidRDefault="00DB79C5" w:rsidP="00040A9F">
      <w:pPr>
        <w:numPr>
          <w:ilvl w:val="0"/>
          <w:numId w:val="10"/>
        </w:numPr>
        <w:spacing w:after="160" w:line="259" w:lineRule="auto"/>
      </w:pPr>
      <w:r>
        <w:t>The e</w:t>
      </w:r>
      <w:r w:rsidR="00040A9F" w:rsidRPr="00A63E84">
        <w:t>mployer must make a comparable contribution by April 15 of the following calendar year to the HSA of each eligible employee who establishes an HSA and notifies the employer by the end of February in the following calendar year</w:t>
      </w:r>
      <w:r w:rsidR="00040A9F">
        <w:t>.</w:t>
      </w:r>
      <w:r w:rsidR="00040A9F" w:rsidRPr="00A63E84">
        <w:t xml:space="preserve"> </w:t>
      </w:r>
    </w:p>
    <w:p w14:paraId="7B357DD3" w14:textId="77777777" w:rsidR="005D6DD1" w:rsidRPr="00C12503" w:rsidRDefault="00EB63B2" w:rsidP="00040A9F">
      <w:pPr>
        <w:pStyle w:val="Heading2"/>
      </w:pPr>
      <w:r>
        <w:t>Design and Administration Considerations</w:t>
      </w:r>
    </w:p>
    <w:p w14:paraId="4E28FBF1" w14:textId="77777777" w:rsidR="00B22913" w:rsidRPr="008C0A20" w:rsidRDefault="00B22913" w:rsidP="00B22913">
      <w:pPr>
        <w:spacing w:after="0"/>
      </w:pPr>
      <w:r w:rsidRPr="008C0A20">
        <w:t>Employers who choose to make HSA contributions to employees are not under any obligation to make HSA contributions for employees who choose not to enroll in the employer’s HDHP offering. Most often, employers will offer HSA contributions, if any, only to those who enroll in the employer’s HDHP. However, there is nothing prohibiting the employer from offering HSA contributions to employees enrolled in another HDHP (e.g.</w:t>
      </w:r>
      <w:r w:rsidR="009C0546">
        <w:t>,</w:t>
      </w:r>
      <w:r w:rsidRPr="008C0A20">
        <w:t xml:space="preserve"> through individual coverage or through a spouse’s employer), although </w:t>
      </w:r>
      <w:r w:rsidRPr="008C0A20">
        <w:rPr>
          <w:color w:val="252525"/>
        </w:rPr>
        <w:t>the employer would need to establish reasonable administrative procedures to ensure that the other HDHP coverage is in place prior to allowing employee pre-tax HSA contributions through a cafeteria plan or making employer HSA contributions</w:t>
      </w:r>
      <w:r w:rsidRPr="008C0A20">
        <w:t>.</w:t>
      </w:r>
    </w:p>
    <w:p w14:paraId="155622CC" w14:textId="77777777" w:rsidR="00407F2A" w:rsidRDefault="00407F2A" w:rsidP="00B22913">
      <w:pPr>
        <w:spacing w:after="0"/>
      </w:pPr>
    </w:p>
    <w:p w14:paraId="2481A236" w14:textId="77777777" w:rsidR="00407F2A" w:rsidRDefault="00407F2A" w:rsidP="00B22913">
      <w:pPr>
        <w:spacing w:after="0"/>
      </w:pPr>
      <w:r>
        <w:t>If the employer chooses to make HSA contributions, the employer is not under any obligation to make a contribution to those individuals who enroll in an HDHP but are not eligible to make HSA contributions (e.g. enrolled in Medicare or eligible to participate in a spouse’s general-purpose health FSA). That being the case, some employers choose to make an alternative contribution (e.g.</w:t>
      </w:r>
      <w:r w:rsidR="003846D5">
        <w:t>,</w:t>
      </w:r>
      <w:r>
        <w:t xml:space="preserve"> health FSA or HRA contribution, or additional taxable compensation) to those who are not eligible to receive an employer HSA contribution.</w:t>
      </w:r>
    </w:p>
    <w:p w14:paraId="1C38AAA4" w14:textId="77777777" w:rsidR="00B22913" w:rsidRPr="008C0A20" w:rsidRDefault="00B22913" w:rsidP="00B22913">
      <w:pPr>
        <w:spacing w:after="0"/>
      </w:pPr>
      <w:r w:rsidRPr="008C0A20">
        <w:t xml:space="preserve"> </w:t>
      </w:r>
    </w:p>
    <w:p w14:paraId="44F711D2" w14:textId="77777777" w:rsidR="00B22913" w:rsidRDefault="003846D5" w:rsidP="00EB63B2">
      <w:r>
        <w:t>E</w:t>
      </w:r>
      <w:r w:rsidR="00B22913" w:rsidRPr="008C0A20">
        <w:t xml:space="preserve">mployers have the option </w:t>
      </w:r>
      <w:r w:rsidR="009C0546">
        <w:t>of</w:t>
      </w:r>
      <w:r w:rsidR="00B22913" w:rsidRPr="008C0A20">
        <w:t xml:space="preserve"> designat</w:t>
      </w:r>
      <w:r w:rsidR="009C0546">
        <w:t>ing</w:t>
      </w:r>
      <w:r w:rsidR="00B22913" w:rsidRPr="008C0A20">
        <w:t xml:space="preserve"> and requir</w:t>
      </w:r>
      <w:r w:rsidR="009C0546">
        <w:t>ing</w:t>
      </w:r>
      <w:r w:rsidR="00B22913" w:rsidRPr="008C0A20">
        <w:t xml:space="preserve"> use of a particular HSA vendor, or </w:t>
      </w:r>
      <w:r w:rsidR="009C0546">
        <w:t>of</w:t>
      </w:r>
      <w:r w:rsidR="00B22913" w:rsidRPr="008C0A20">
        <w:t xml:space="preserve"> forward</w:t>
      </w:r>
      <w:r w:rsidR="009C0546">
        <w:t>ing</w:t>
      </w:r>
      <w:r w:rsidR="00B22913" w:rsidRPr="008C0A20">
        <w:t xml:space="preserve"> contributions to each employee’s chosen HSA trustee/custodian. It adds to the administrative hassle for the employer if </w:t>
      </w:r>
      <w:r w:rsidR="009B11E4">
        <w:t>the employer</w:t>
      </w:r>
      <w:r w:rsidR="00B22913" w:rsidRPr="008C0A20">
        <w:t xml:space="preserve"> choose</w:t>
      </w:r>
      <w:r w:rsidR="009B11E4">
        <w:t>s</w:t>
      </w:r>
      <w:r w:rsidR="00B22913" w:rsidRPr="008C0A20">
        <w:t xml:space="preserve"> to allow use of different vendors. </w:t>
      </w:r>
      <w:r w:rsidR="00EB63B2">
        <w:t>In addition</w:t>
      </w:r>
      <w:r w:rsidR="00B22913" w:rsidRPr="008C0A20">
        <w:t xml:space="preserve">, if the employer chooses to forward contributions to a particular vendor, or chooses not to facilitate the process at all, the employees still have the option </w:t>
      </w:r>
      <w:r w:rsidR="009C0546">
        <w:t>of</w:t>
      </w:r>
      <w:r w:rsidR="00B22913" w:rsidRPr="008C0A20">
        <w:t xml:space="preserve"> open</w:t>
      </w:r>
      <w:r w:rsidR="009C0546">
        <w:t>ing</w:t>
      </w:r>
      <w:r w:rsidR="00B22913" w:rsidRPr="008C0A20">
        <w:t xml:space="preserve"> an HSA account and contribut</w:t>
      </w:r>
      <w:r w:rsidR="009C0546">
        <w:t>ing</w:t>
      </w:r>
      <w:r w:rsidR="00B22913" w:rsidRPr="008C0A20">
        <w:t xml:space="preserve"> on their own.</w:t>
      </w:r>
      <w:r w:rsidR="00B22913">
        <w:t xml:space="preserve">  </w:t>
      </w:r>
    </w:p>
    <w:p w14:paraId="557380A0" w14:textId="77777777" w:rsidR="007F2FBA" w:rsidRDefault="00040A9F" w:rsidP="00AC5167">
      <w:pPr>
        <w:pStyle w:val="Heading1"/>
      </w:pPr>
      <w:bookmarkStart w:id="11" w:name="_Toc510627677"/>
      <w:r>
        <w:t xml:space="preserve">HSA </w:t>
      </w:r>
      <w:r w:rsidR="00E34BB9">
        <w:t>Distributions (</w:t>
      </w:r>
      <w:r>
        <w:t>Reimbursement</w:t>
      </w:r>
      <w:r w:rsidR="00E34BB9">
        <w:t>s)</w:t>
      </w:r>
      <w:bookmarkEnd w:id="11"/>
    </w:p>
    <w:p w14:paraId="4B1A6413" w14:textId="77777777" w:rsidR="00E34BB9" w:rsidRDefault="00E34BB9" w:rsidP="00E34BB9">
      <w:r w:rsidRPr="00A63E84">
        <w:t>HSA distributions are tax</w:t>
      </w:r>
      <w:r w:rsidR="009C0546">
        <w:t xml:space="preserve"> </w:t>
      </w:r>
      <w:r w:rsidRPr="00A63E84">
        <w:t xml:space="preserve">free </w:t>
      </w:r>
      <w:r>
        <w:t xml:space="preserve">if used </w:t>
      </w:r>
      <w:r w:rsidRPr="00A63E84">
        <w:t xml:space="preserve">for </w:t>
      </w:r>
      <w:r>
        <w:t xml:space="preserve">reimbursement of </w:t>
      </w:r>
      <w:r w:rsidRPr="00A63E84">
        <w:t>qualif</w:t>
      </w:r>
      <w:r w:rsidR="00AA2ED4">
        <w:t>ying</w:t>
      </w:r>
      <w:r w:rsidRPr="00A63E84">
        <w:t xml:space="preserve"> medical expenses</w:t>
      </w:r>
      <w:r>
        <w:t xml:space="preserve"> so long as the expenses will not be reimbursed by insurance or any other source.</w:t>
      </w:r>
    </w:p>
    <w:p w14:paraId="4E7E0099" w14:textId="77777777" w:rsidR="00E34BB9" w:rsidRDefault="00E34BB9" w:rsidP="00E34BB9">
      <w:pPr>
        <w:pStyle w:val="Heading2"/>
      </w:pPr>
      <w:r>
        <w:t>Qualifying Medical Expenses</w:t>
      </w:r>
    </w:p>
    <w:p w14:paraId="52E9C34D" w14:textId="77777777" w:rsidR="00E34BB9" w:rsidRDefault="00E34BB9" w:rsidP="00E34BB9">
      <w:r>
        <w:t xml:space="preserve">Qualifying medical expenses are defined under </w:t>
      </w:r>
      <w:r>
        <w:rPr>
          <w:rFonts w:cs="Arial"/>
        </w:rPr>
        <w:t>§</w:t>
      </w:r>
      <w:r>
        <w:t xml:space="preserve">213(d) and </w:t>
      </w:r>
      <w:r w:rsidR="009C0546">
        <w:t xml:space="preserve">are </w:t>
      </w:r>
      <w:r>
        <w:t xml:space="preserve">further described in Pub. 502 and Pub. 969. </w:t>
      </w:r>
    </w:p>
    <w:p w14:paraId="6CF63304" w14:textId="77777777" w:rsidR="008053B8" w:rsidRPr="008053B8" w:rsidRDefault="009C0546" w:rsidP="008053B8">
      <w:pPr>
        <w:rPr>
          <w:rFonts w:cs="Arial"/>
        </w:rPr>
      </w:pPr>
      <w:r>
        <w:rPr>
          <w:rFonts w:cs="Arial"/>
        </w:rPr>
        <w:t>Although</w:t>
      </w:r>
      <w:r w:rsidR="008053B8">
        <w:rPr>
          <w:rFonts w:cs="Arial"/>
        </w:rPr>
        <w:t xml:space="preserve"> considered a qualifying medical expense under</w:t>
      </w:r>
      <w:r w:rsidR="00AA2ED4">
        <w:rPr>
          <w:rFonts w:cs="Arial"/>
        </w:rPr>
        <w:t xml:space="preserve"> </w:t>
      </w:r>
      <w:r w:rsidR="008053B8">
        <w:rPr>
          <w:rFonts w:cs="Arial"/>
        </w:rPr>
        <w:t>§</w:t>
      </w:r>
      <w:r w:rsidR="008053B8">
        <w:t>213(d),</w:t>
      </w:r>
      <w:r w:rsidR="008053B8">
        <w:rPr>
          <w:rFonts w:cs="Arial"/>
        </w:rPr>
        <w:t xml:space="preserve"> </w:t>
      </w:r>
      <w:r w:rsidR="008053B8" w:rsidRPr="008053B8">
        <w:rPr>
          <w:rFonts w:cs="Arial"/>
        </w:rPr>
        <w:t>HSA funds are generally not allowed to reimburse insurance premiums on a tax-favored basis, except for:</w:t>
      </w:r>
    </w:p>
    <w:p w14:paraId="3C101CAF" w14:textId="77777777" w:rsidR="008053B8" w:rsidRPr="008053B8" w:rsidRDefault="008053B8" w:rsidP="00676C04">
      <w:pPr>
        <w:numPr>
          <w:ilvl w:val="0"/>
          <w:numId w:val="12"/>
        </w:numPr>
        <w:spacing w:after="0"/>
        <w:rPr>
          <w:rFonts w:cs="Arial"/>
          <w:color w:val="252525"/>
        </w:rPr>
      </w:pPr>
      <w:r w:rsidRPr="008053B8">
        <w:rPr>
          <w:rFonts w:cs="Arial"/>
          <w:color w:val="252525"/>
        </w:rPr>
        <w:t>COBRA or USERRA coverage;</w:t>
      </w:r>
    </w:p>
    <w:p w14:paraId="512945B5" w14:textId="77777777" w:rsidR="008053B8" w:rsidRPr="008053B8" w:rsidRDefault="008053B8" w:rsidP="00676C04">
      <w:pPr>
        <w:numPr>
          <w:ilvl w:val="0"/>
          <w:numId w:val="12"/>
        </w:numPr>
        <w:spacing w:after="0"/>
        <w:rPr>
          <w:rFonts w:cs="Arial"/>
          <w:color w:val="252525"/>
        </w:rPr>
      </w:pPr>
      <w:r w:rsidRPr="008053B8">
        <w:rPr>
          <w:rFonts w:cs="Arial"/>
          <w:color w:val="252525"/>
        </w:rPr>
        <w:t>A qualified long-term care insurance contract;</w:t>
      </w:r>
    </w:p>
    <w:p w14:paraId="37640C51" w14:textId="77777777" w:rsidR="008053B8" w:rsidRPr="008053B8" w:rsidRDefault="008053B8" w:rsidP="00676C04">
      <w:pPr>
        <w:numPr>
          <w:ilvl w:val="0"/>
          <w:numId w:val="12"/>
        </w:numPr>
        <w:spacing w:after="0"/>
        <w:rPr>
          <w:rFonts w:cs="Arial"/>
          <w:color w:val="252525"/>
        </w:rPr>
      </w:pPr>
      <w:r w:rsidRPr="008053B8">
        <w:rPr>
          <w:rFonts w:cs="Arial"/>
          <w:color w:val="252525"/>
        </w:rPr>
        <w:t>Any health plan maintained while the individual (i.e., the HSA holder or his or her spouse or dependent) is receiving unemployment compensation under federal or state law;</w:t>
      </w:r>
      <w:r w:rsidRPr="008053B8">
        <w:rPr>
          <w:rStyle w:val="apple-converted-space"/>
          <w:rFonts w:cs="Arial"/>
          <w:color w:val="252525"/>
        </w:rPr>
        <w:t> </w:t>
      </w:r>
      <w:r w:rsidRPr="008053B8">
        <w:rPr>
          <w:rFonts w:cs="Arial"/>
          <w:color w:val="252525"/>
        </w:rPr>
        <w:t>or</w:t>
      </w:r>
    </w:p>
    <w:p w14:paraId="143957EB" w14:textId="77777777" w:rsidR="008053B8" w:rsidRPr="008053B8" w:rsidRDefault="008053B8" w:rsidP="00676C04">
      <w:pPr>
        <w:numPr>
          <w:ilvl w:val="0"/>
          <w:numId w:val="12"/>
        </w:numPr>
        <w:spacing w:after="0"/>
        <w:rPr>
          <w:rFonts w:cs="Arial"/>
          <w:color w:val="252525"/>
        </w:rPr>
      </w:pPr>
      <w:r w:rsidRPr="008053B8">
        <w:rPr>
          <w:rFonts w:cs="Arial"/>
          <w:color w:val="252525"/>
        </w:rPr>
        <w:t>For HSA holders age 65 or over, any deductible health insurance (e.g., retiree medical coverage) other than a Medicare supplemental policy.</w:t>
      </w:r>
    </w:p>
    <w:p w14:paraId="76EE99B3" w14:textId="77777777" w:rsidR="00E34BB9" w:rsidRDefault="00E34BB9" w:rsidP="00E34BB9"/>
    <w:p w14:paraId="3A8B653C" w14:textId="77777777" w:rsidR="00E34BB9" w:rsidRDefault="008053B8" w:rsidP="00E34BB9">
      <w:r>
        <w:t>R</w:t>
      </w:r>
      <w:r w:rsidR="00E34BB9">
        <w:t xml:space="preserve">eimbursement </w:t>
      </w:r>
      <w:r>
        <w:t>is allowed for</w:t>
      </w:r>
      <w:r w:rsidR="00E34BB9">
        <w:t xml:space="preserve"> qualif</w:t>
      </w:r>
      <w:r w:rsidR="00AA2ED4">
        <w:t>ying</w:t>
      </w:r>
      <w:r w:rsidR="00E34BB9">
        <w:t xml:space="preserve"> medical expenses for the </w:t>
      </w:r>
      <w:r w:rsidR="00E34BB9" w:rsidRPr="00035657">
        <w:t xml:space="preserve">HSA account holder, as well as </w:t>
      </w:r>
      <w:r w:rsidR="00666615">
        <w:t xml:space="preserve">for </w:t>
      </w:r>
      <w:r w:rsidR="00E34BB9" w:rsidRPr="00035657">
        <w:t>the account holder’s spouse and tax dependents</w:t>
      </w:r>
      <w:r>
        <w:t xml:space="preserve"> (as generally defined under §152), regardless of whether the spouse and tax dependents are enrolled in HDHP coverage</w:t>
      </w:r>
      <w:r w:rsidR="00E34BB9" w:rsidRPr="00035657">
        <w:t xml:space="preserve">. </w:t>
      </w:r>
      <w:r w:rsidR="00E34BB9">
        <w:t xml:space="preserve">§152 generally defines “dependent” as a qualifying child or </w:t>
      </w:r>
      <w:r w:rsidR="00666615">
        <w:t xml:space="preserve">a </w:t>
      </w:r>
      <w:r w:rsidR="00E34BB9">
        <w:t xml:space="preserve">qualifying relative.  </w:t>
      </w:r>
    </w:p>
    <w:p w14:paraId="10B7765B" w14:textId="77777777" w:rsidR="00E34BB9" w:rsidRDefault="00E34BB9" w:rsidP="00676C04">
      <w:pPr>
        <w:pStyle w:val="ColorfulList-Accent12"/>
        <w:numPr>
          <w:ilvl w:val="0"/>
          <w:numId w:val="14"/>
        </w:numPr>
        <w:rPr>
          <w:rFonts w:ascii="Arial" w:hAnsi="Arial" w:cs="Arial"/>
        </w:rPr>
      </w:pPr>
      <w:r w:rsidRPr="008053B8">
        <w:rPr>
          <w:rFonts w:ascii="Arial" w:hAnsi="Arial" w:cs="Arial"/>
        </w:rPr>
        <w:t>A “Qualifying Child” includes the employee’s child or other relative younger than the employee</w:t>
      </w:r>
      <w:r w:rsidR="00666615">
        <w:rPr>
          <w:rFonts w:ascii="Arial" w:hAnsi="Arial" w:cs="Arial"/>
        </w:rPr>
        <w:t>:</w:t>
      </w:r>
      <w:r w:rsidRPr="008053B8">
        <w:rPr>
          <w:rFonts w:ascii="Arial" w:hAnsi="Arial" w:cs="Arial"/>
        </w:rPr>
        <w:t xml:space="preserve"> who has not attained age 19 (or 24 if a full-time student); who lives with the employee at least half of the year; who does not provide more than one-half of his or her own financial support; and who </w:t>
      </w:r>
      <w:r w:rsidRPr="008053B8">
        <w:rPr>
          <w:rFonts w:ascii="Arial" w:hAnsi="Arial" w:cs="Arial"/>
          <w:color w:val="252525"/>
        </w:rPr>
        <w:t>has not filed a joint return (other than only for a claim of refund) with his/her spouse</w:t>
      </w:r>
      <w:r w:rsidRPr="008053B8">
        <w:rPr>
          <w:rFonts w:ascii="Arial" w:hAnsi="Arial" w:cs="Arial"/>
        </w:rPr>
        <w:t>. The age limitations are waived for a qualifying child who is totally disabled.</w:t>
      </w:r>
    </w:p>
    <w:p w14:paraId="69444671" w14:textId="77777777" w:rsidR="00540F17" w:rsidRPr="008053B8" w:rsidRDefault="00540F17" w:rsidP="00540F17">
      <w:pPr>
        <w:pStyle w:val="ColorfulList-Accent12"/>
        <w:ind w:left="360"/>
        <w:rPr>
          <w:rFonts w:ascii="Arial" w:hAnsi="Arial" w:cs="Arial"/>
        </w:rPr>
      </w:pPr>
    </w:p>
    <w:p w14:paraId="7B4F3E87" w14:textId="77777777" w:rsidR="00E34BB9" w:rsidRPr="008053B8" w:rsidRDefault="00E34BB9" w:rsidP="00676C04">
      <w:pPr>
        <w:pStyle w:val="ColorfulList-Accent12"/>
        <w:numPr>
          <w:ilvl w:val="0"/>
          <w:numId w:val="14"/>
        </w:numPr>
        <w:rPr>
          <w:rFonts w:ascii="Arial" w:hAnsi="Arial" w:cs="Arial"/>
        </w:rPr>
      </w:pPr>
      <w:r w:rsidRPr="008053B8">
        <w:rPr>
          <w:rFonts w:ascii="Arial" w:hAnsi="Arial" w:cs="Arial"/>
        </w:rPr>
        <w:t>A “Qualifying Relative” includes the employee’s child or other relative or member of the employee’s household</w:t>
      </w:r>
      <w:r w:rsidR="00666615">
        <w:rPr>
          <w:rFonts w:ascii="Arial" w:hAnsi="Arial" w:cs="Arial"/>
        </w:rPr>
        <w:t>:</w:t>
      </w:r>
      <w:r w:rsidRPr="008053B8">
        <w:rPr>
          <w:rFonts w:ascii="Arial" w:hAnsi="Arial" w:cs="Arial"/>
        </w:rPr>
        <w:t xml:space="preserve"> for whom the employee provides over half of the individual’s financial support; whose gross income is less than the exemption amount; and who is not the qualifying child of the employee or any other person.</w:t>
      </w:r>
    </w:p>
    <w:p w14:paraId="2A1ECD4F" w14:textId="77777777" w:rsidR="00E34BB9" w:rsidRDefault="00E34BB9" w:rsidP="00E34BB9">
      <w:pPr>
        <w:rPr>
          <w:color w:val="000000"/>
        </w:rPr>
      </w:pPr>
      <w:r>
        <w:rPr>
          <w:color w:val="000000"/>
        </w:rPr>
        <w:t>However, for purposes of establishing eligibility to receive reimbursement from an account</w:t>
      </w:r>
      <w:r w:rsidR="00666615">
        <w:rPr>
          <w:color w:val="000000"/>
        </w:rPr>
        <w:t xml:space="preserve"> </w:t>
      </w:r>
      <w:r>
        <w:rPr>
          <w:color w:val="000000"/>
        </w:rPr>
        <w:t>holder’s HSA, the definition of dependent is expanded slightly to include:</w:t>
      </w:r>
    </w:p>
    <w:p w14:paraId="7AB72ABC" w14:textId="77777777" w:rsidR="00E34BB9" w:rsidRDefault="00DB79C5" w:rsidP="00676C04">
      <w:pPr>
        <w:numPr>
          <w:ilvl w:val="0"/>
          <w:numId w:val="13"/>
        </w:numPr>
        <w:spacing w:after="0"/>
        <w:rPr>
          <w:color w:val="000000"/>
        </w:rPr>
      </w:pPr>
      <w:r>
        <w:rPr>
          <w:color w:val="000000"/>
        </w:rPr>
        <w:t>A</w:t>
      </w:r>
      <w:r w:rsidR="00E34BB9">
        <w:rPr>
          <w:color w:val="000000"/>
        </w:rPr>
        <w:t>n individual who is married and files a joint return with another taxpayer;</w:t>
      </w:r>
    </w:p>
    <w:p w14:paraId="5FEF62BC" w14:textId="77777777" w:rsidR="00E34BB9" w:rsidRDefault="00DB79C5" w:rsidP="00676C04">
      <w:pPr>
        <w:numPr>
          <w:ilvl w:val="0"/>
          <w:numId w:val="13"/>
        </w:numPr>
        <w:spacing w:after="0"/>
        <w:rPr>
          <w:color w:val="000000"/>
        </w:rPr>
      </w:pPr>
      <w:r>
        <w:rPr>
          <w:color w:val="000000"/>
        </w:rPr>
        <w:t>A</w:t>
      </w:r>
      <w:r w:rsidR="00E34BB9">
        <w:rPr>
          <w:color w:val="000000"/>
        </w:rPr>
        <w:t>n individual who could have been claimed as a dependent but who received more than the exemption amount in gross income; and</w:t>
      </w:r>
    </w:p>
    <w:p w14:paraId="7DABAA9F" w14:textId="77777777" w:rsidR="00E34BB9" w:rsidRDefault="00DB79C5" w:rsidP="00676C04">
      <w:pPr>
        <w:numPr>
          <w:ilvl w:val="0"/>
          <w:numId w:val="13"/>
        </w:numPr>
        <w:spacing w:after="0"/>
        <w:rPr>
          <w:color w:val="000000"/>
        </w:rPr>
      </w:pPr>
      <w:r>
        <w:rPr>
          <w:color w:val="000000"/>
        </w:rPr>
        <w:t>A</w:t>
      </w:r>
      <w:r w:rsidR="00E34BB9">
        <w:rPr>
          <w:color w:val="000000"/>
        </w:rPr>
        <w:t>n individual who could have been claimed as a dependent, except that the HSA account holder, or spouse if filing jointly, was claimed as a dependent on someone else's tax return.</w:t>
      </w:r>
    </w:p>
    <w:p w14:paraId="3DBD9E48" w14:textId="77777777" w:rsidR="00DB79C5" w:rsidRDefault="00DB79C5" w:rsidP="00E34BB9"/>
    <w:p w14:paraId="2E6E0833" w14:textId="77777777" w:rsidR="00E34BB9" w:rsidRDefault="00DB79C5" w:rsidP="00E34BB9">
      <w:r>
        <w:t xml:space="preserve">Therefore, in some cases, a dependent who doesn’t meet the definition of “Qualifying Child” or “Qualifying Relative” may still be able to have </w:t>
      </w:r>
      <w:r w:rsidR="00666615">
        <w:t>his or her</w:t>
      </w:r>
      <w:r>
        <w:t xml:space="preserve"> expenses reimbursed from the account</w:t>
      </w:r>
      <w:r w:rsidR="00666615">
        <w:t xml:space="preserve"> </w:t>
      </w:r>
      <w:r>
        <w:t xml:space="preserve">holder’s HSA if </w:t>
      </w:r>
      <w:r w:rsidR="00666615">
        <w:t>he or she</w:t>
      </w:r>
      <w:r>
        <w:t xml:space="preserve"> meet</w:t>
      </w:r>
      <w:r w:rsidR="00666615">
        <w:t>s</w:t>
      </w:r>
      <w:r>
        <w:t xml:space="preserve"> the expanded eligibility criteria. </w:t>
      </w:r>
      <w:r w:rsidR="002D2DBF">
        <w:t>In some cases, a dependent may even be eligible to both establish their own HSA and receive reimbursement from the account holder’s HSA.</w:t>
      </w:r>
    </w:p>
    <w:p w14:paraId="4E3D5069" w14:textId="77777777" w:rsidR="00E64719" w:rsidRPr="003E2420" w:rsidRDefault="002D2DBF" w:rsidP="00E34BB9">
      <w:pPr>
        <w:pStyle w:val="Heading2"/>
        <w:rPr>
          <w:b w:val="0"/>
          <w:bCs/>
          <w:sz w:val="22"/>
          <w:szCs w:val="22"/>
        </w:rPr>
      </w:pPr>
      <w:r w:rsidRPr="003E2420">
        <w:rPr>
          <w:b w:val="0"/>
          <w:bCs/>
          <w:sz w:val="22"/>
          <w:szCs w:val="22"/>
        </w:rPr>
        <w:t>Note that domestic partners typically will not be considered “qualifying relatives” and therefore will not be eligible to have their expenses reimbursed by an account holder’s HSA. However, because the domestic partners is likely not a tax dependent, they may be eligible to establish their own HSA without application of the special rule for spouses discussed above</w:t>
      </w:r>
      <w:r>
        <w:rPr>
          <w:b w:val="0"/>
          <w:bCs/>
          <w:sz w:val="22"/>
          <w:szCs w:val="22"/>
        </w:rPr>
        <w:t xml:space="preserve"> and in Appendix C</w:t>
      </w:r>
      <w:r w:rsidRPr="003E2420">
        <w:rPr>
          <w:b w:val="0"/>
          <w:bCs/>
          <w:sz w:val="22"/>
          <w:szCs w:val="22"/>
        </w:rPr>
        <w:t>.</w:t>
      </w:r>
    </w:p>
    <w:p w14:paraId="2142BBB7" w14:textId="77777777" w:rsidR="00E34BB9" w:rsidRDefault="00E34BB9" w:rsidP="00E34BB9">
      <w:pPr>
        <w:pStyle w:val="Heading2"/>
      </w:pPr>
      <w:r>
        <w:t>Timing of Reimbursements</w:t>
      </w:r>
    </w:p>
    <w:p w14:paraId="182820B8" w14:textId="77777777" w:rsidR="00E34BB9" w:rsidRPr="00D363E4" w:rsidRDefault="00E34BB9" w:rsidP="00E34BB9">
      <w:r>
        <w:t xml:space="preserve">To be reimbursable, qualifying medical expenses must be incurred after the HSA was established. </w:t>
      </w:r>
      <w:r w:rsidRPr="00D363E4">
        <w:t xml:space="preserve">As a general rule, an HSA is “established” on the date that it is established under applicable state trust law. Most state trust laws require that a trust be funded </w:t>
      </w:r>
      <w:r w:rsidR="00666615">
        <w:t xml:space="preserve">(i.e., a </w:t>
      </w:r>
      <w:r w:rsidR="0062410C">
        <w:t>deposit</w:t>
      </w:r>
      <w:r w:rsidR="00666615">
        <w:t xml:space="preserve"> has been made) </w:t>
      </w:r>
      <w:r w:rsidRPr="00D363E4">
        <w:t>to be established. </w:t>
      </w:r>
      <w:r w:rsidR="0062410C" w:rsidRPr="00D363E4">
        <w:t>So even if an individual was an eligible individual for the entire year, if he or she didn’t actually establish the HSA account until midyear, then expenses incurred prior to that point</w:t>
      </w:r>
      <w:r w:rsidR="0062410C">
        <w:t xml:space="preserve"> </w:t>
      </w:r>
      <w:r w:rsidR="0062410C" w:rsidRPr="00D363E4">
        <w:t>wouldn’t be reimbursable on a pre-tax basis using funds in the HSA.</w:t>
      </w:r>
      <w:r w:rsidR="0062410C">
        <w:t xml:space="preserve"> That being the case, once the HSA is established, any expenses incurred after that date may be reimbursed at any point in the future; the expense does not have to be reimbursed within the same year in which the expense was incurred.</w:t>
      </w:r>
    </w:p>
    <w:p w14:paraId="567BE006" w14:textId="77777777" w:rsidR="00E34BB9" w:rsidRPr="00E64719" w:rsidRDefault="00E64719" w:rsidP="00E34BB9">
      <w:pPr>
        <w:rPr>
          <w:rFonts w:cs="Arial"/>
          <w:color w:val="252525"/>
        </w:rPr>
      </w:pPr>
      <w:r>
        <w:rPr>
          <w:rFonts w:cs="Arial"/>
          <w:color w:val="252525"/>
        </w:rPr>
        <w:t>Individuals are typically not required to provide any documentation or proof of medical expenses incurred upon requesting a distribution from their HSA, but should keep receipts and records to show that reimbursements were taken only for qualifying medical expenses in case of an IRS audit.</w:t>
      </w:r>
    </w:p>
    <w:p w14:paraId="694E3452" w14:textId="77777777" w:rsidR="00E34BB9" w:rsidRDefault="008053B8" w:rsidP="00E34BB9">
      <w:r w:rsidRPr="00035657">
        <w:t xml:space="preserve">In addition, reimbursement is not dependent upon </w:t>
      </w:r>
      <w:r w:rsidR="002D2DBF">
        <w:t xml:space="preserve">continued </w:t>
      </w:r>
      <w:r w:rsidRPr="00035657">
        <w:t>HSA</w:t>
      </w:r>
      <w:r w:rsidR="00666615">
        <w:t xml:space="preserve"> </w:t>
      </w:r>
      <w:r w:rsidRPr="00035657">
        <w:t xml:space="preserve">eligibility. Once the HSA is established and monies </w:t>
      </w:r>
      <w:r w:rsidR="00E7558A">
        <w:t xml:space="preserve">are </w:t>
      </w:r>
      <w:r w:rsidRPr="00035657">
        <w:t>contributed, the funds remain available</w:t>
      </w:r>
      <w:r w:rsidR="00E7558A">
        <w:t xml:space="preserve"> to the HSA account holder</w:t>
      </w:r>
      <w:r w:rsidRPr="00035657">
        <w:t xml:space="preserve"> to reimburse qualifying medical expenses</w:t>
      </w:r>
      <w:r>
        <w:t xml:space="preserve"> until the funds are exhausted</w:t>
      </w:r>
      <w:r w:rsidR="006F6222">
        <w:t xml:space="preserve">, </w:t>
      </w:r>
      <w:r w:rsidR="00DB79C5">
        <w:t>even if the account holder subsequently loses HSA</w:t>
      </w:r>
      <w:r w:rsidR="00666615">
        <w:t xml:space="preserve"> </w:t>
      </w:r>
      <w:r w:rsidR="00DB79C5">
        <w:t>eligibility</w:t>
      </w:r>
      <w:r w:rsidRPr="00035657">
        <w:t>. </w:t>
      </w:r>
    </w:p>
    <w:p w14:paraId="783A2E70" w14:textId="77777777" w:rsidR="00715485" w:rsidRDefault="00715485" w:rsidP="00A54300">
      <w:pPr>
        <w:pStyle w:val="Heading2"/>
      </w:pPr>
      <w:r>
        <w:t>Funds Used for Non-Qualifying Expenses</w:t>
      </w:r>
    </w:p>
    <w:p w14:paraId="6B147A2B" w14:textId="77777777" w:rsidR="00715485" w:rsidRDefault="00715485" w:rsidP="00715485">
      <w:pPr>
        <w:pStyle w:val="BodyText"/>
        <w:rPr>
          <w:sz w:val="22"/>
          <w:szCs w:val="22"/>
        </w:rPr>
      </w:pPr>
      <w:r w:rsidRPr="00380311">
        <w:rPr>
          <w:sz w:val="22"/>
          <w:szCs w:val="22"/>
        </w:rPr>
        <w:t>If funds from the HSA are used for non-qualifying medical expenses, the distribution is included in the account holder</w:t>
      </w:r>
      <w:r w:rsidR="00666615" w:rsidRPr="00380311">
        <w:rPr>
          <w:sz w:val="22"/>
          <w:szCs w:val="22"/>
        </w:rPr>
        <w:t>’</w:t>
      </w:r>
      <w:r w:rsidRPr="00380311">
        <w:rPr>
          <w:sz w:val="22"/>
          <w:szCs w:val="22"/>
        </w:rPr>
        <w:t>s gross income and generally is subject to an additional 20% tax. However, if it was a mistake, there may be an option to return the money to the HSA prior to April 15th of the following year. Or if enough other qualifying medical expenses are incurred during the same year, the individual could avoid having to include the amount in gross income and pay the penalty tax.</w:t>
      </w:r>
    </w:p>
    <w:p w14:paraId="0B9FAAA7" w14:textId="77777777" w:rsidR="00AA2ED4" w:rsidRPr="00380311" w:rsidRDefault="00AA2ED4" w:rsidP="00AA2ED4">
      <w:pPr>
        <w:pStyle w:val="BodyText"/>
        <w:rPr>
          <w:sz w:val="22"/>
          <w:szCs w:val="22"/>
        </w:rPr>
      </w:pPr>
      <w:r>
        <w:rPr>
          <w:sz w:val="22"/>
          <w:szCs w:val="22"/>
        </w:rPr>
        <w:t>NOTE:</w:t>
      </w:r>
      <w:r w:rsidR="002D2DBF">
        <w:rPr>
          <w:sz w:val="22"/>
          <w:szCs w:val="22"/>
        </w:rPr>
        <w:t xml:space="preserve"> </w:t>
      </w:r>
      <w:r>
        <w:rPr>
          <w:sz w:val="22"/>
          <w:szCs w:val="22"/>
        </w:rPr>
        <w:t>T</w:t>
      </w:r>
      <w:r w:rsidRPr="00AA2ED4">
        <w:rPr>
          <w:sz w:val="22"/>
          <w:szCs w:val="22"/>
        </w:rPr>
        <w:t>he HSA may be used for non-qualifying medical expenses without incurring the 20% excise tax once the account holder achieves age 65. The distribution would be taxed as ordinary income, but would not be subject to an additional 20% tax on top of that</w:t>
      </w:r>
      <w:r>
        <w:rPr>
          <w:sz w:val="22"/>
          <w:szCs w:val="22"/>
        </w:rPr>
        <w:t xml:space="preserve"> (s</w:t>
      </w:r>
      <w:r w:rsidRPr="00AA2ED4">
        <w:rPr>
          <w:sz w:val="22"/>
          <w:szCs w:val="22"/>
        </w:rPr>
        <w:t xml:space="preserve">ee </w:t>
      </w:r>
      <w:r>
        <w:rPr>
          <w:sz w:val="22"/>
          <w:szCs w:val="22"/>
        </w:rPr>
        <w:t>Q</w:t>
      </w:r>
      <w:r w:rsidR="00B40854">
        <w:rPr>
          <w:sz w:val="22"/>
          <w:szCs w:val="22"/>
        </w:rPr>
        <w:t>/</w:t>
      </w:r>
      <w:r>
        <w:rPr>
          <w:sz w:val="22"/>
          <w:szCs w:val="22"/>
        </w:rPr>
        <w:t>A</w:t>
      </w:r>
      <w:r w:rsidR="00B40854">
        <w:rPr>
          <w:sz w:val="22"/>
          <w:szCs w:val="22"/>
        </w:rPr>
        <w:t>-25</w:t>
      </w:r>
      <w:r w:rsidRPr="00AA2ED4">
        <w:rPr>
          <w:sz w:val="22"/>
          <w:szCs w:val="22"/>
        </w:rPr>
        <w:t xml:space="preserve"> from IRS Notice 2004-2</w:t>
      </w:r>
      <w:r>
        <w:rPr>
          <w:sz w:val="22"/>
          <w:szCs w:val="22"/>
        </w:rPr>
        <w:t>).</w:t>
      </w:r>
      <w:r w:rsidRPr="00AA2ED4">
        <w:rPr>
          <w:sz w:val="22"/>
          <w:szCs w:val="22"/>
        </w:rPr>
        <w:t xml:space="preserve"> </w:t>
      </w:r>
    </w:p>
    <w:p w14:paraId="076272DB" w14:textId="77777777" w:rsidR="00E34BB9" w:rsidRDefault="00A54300" w:rsidP="00A54300">
      <w:pPr>
        <w:pStyle w:val="Heading2"/>
      </w:pPr>
      <w:r>
        <w:t>HSA Rollovers</w:t>
      </w:r>
    </w:p>
    <w:p w14:paraId="66DCF926" w14:textId="77777777" w:rsidR="00A54300" w:rsidRPr="00380311" w:rsidRDefault="00A54300" w:rsidP="00A54300">
      <w:pPr>
        <w:pStyle w:val="BodyText"/>
        <w:spacing w:after="0"/>
        <w:rPr>
          <w:sz w:val="22"/>
          <w:szCs w:val="22"/>
        </w:rPr>
      </w:pPr>
      <w:r w:rsidRPr="00380311">
        <w:rPr>
          <w:sz w:val="22"/>
          <w:szCs w:val="22"/>
        </w:rPr>
        <w:t>In general, rollovers are allowed only from HSA to HSA, with a one-time exception from a traditional or Roth IRA to an HSA.</w:t>
      </w:r>
      <w:r w:rsidRPr="00380311">
        <w:rPr>
          <w:sz w:val="22"/>
          <w:szCs w:val="22"/>
          <w:lang w:val="en"/>
        </w:rPr>
        <w:t>The following requirements apply to the IRA/HSA transfer:</w:t>
      </w:r>
    </w:p>
    <w:p w14:paraId="464F0C7B" w14:textId="77777777" w:rsidR="00A54300" w:rsidRPr="00380311" w:rsidRDefault="00A54300" w:rsidP="00A54300">
      <w:pPr>
        <w:pStyle w:val="BodyText"/>
        <w:numPr>
          <w:ilvl w:val="0"/>
          <w:numId w:val="16"/>
        </w:numPr>
        <w:spacing w:after="0"/>
        <w:rPr>
          <w:sz w:val="22"/>
          <w:szCs w:val="22"/>
        </w:rPr>
      </w:pPr>
      <w:r w:rsidRPr="00380311">
        <w:rPr>
          <w:sz w:val="22"/>
          <w:szCs w:val="22"/>
        </w:rPr>
        <w:t xml:space="preserve">Funds can come from </w:t>
      </w:r>
      <w:r w:rsidR="00666615" w:rsidRPr="00380311">
        <w:rPr>
          <w:sz w:val="22"/>
          <w:szCs w:val="22"/>
        </w:rPr>
        <w:t xml:space="preserve">only </w:t>
      </w:r>
      <w:r w:rsidRPr="00380311">
        <w:rPr>
          <w:sz w:val="22"/>
          <w:szCs w:val="22"/>
        </w:rPr>
        <w:t>one account</w:t>
      </w:r>
      <w:r w:rsidR="00666615" w:rsidRPr="00380311">
        <w:rPr>
          <w:sz w:val="22"/>
          <w:szCs w:val="22"/>
        </w:rPr>
        <w:t>,</w:t>
      </w:r>
      <w:r w:rsidRPr="00380311">
        <w:rPr>
          <w:sz w:val="22"/>
          <w:szCs w:val="22"/>
        </w:rPr>
        <w:t xml:space="preserve"> and the account must be either a traditional IRA or </w:t>
      </w:r>
      <w:r w:rsidR="00666615" w:rsidRPr="00380311">
        <w:rPr>
          <w:sz w:val="22"/>
          <w:szCs w:val="22"/>
        </w:rPr>
        <w:t xml:space="preserve">a </w:t>
      </w:r>
      <w:r w:rsidRPr="00380311">
        <w:rPr>
          <w:sz w:val="22"/>
          <w:szCs w:val="22"/>
        </w:rPr>
        <w:t>Roth IRA.</w:t>
      </w:r>
    </w:p>
    <w:p w14:paraId="619EB72E" w14:textId="77777777" w:rsidR="00A54300" w:rsidRPr="00380311" w:rsidRDefault="00A54300" w:rsidP="00A54300">
      <w:pPr>
        <w:pStyle w:val="BodyText"/>
        <w:numPr>
          <w:ilvl w:val="0"/>
          <w:numId w:val="16"/>
        </w:numPr>
        <w:spacing w:after="0"/>
        <w:rPr>
          <w:sz w:val="22"/>
          <w:szCs w:val="22"/>
        </w:rPr>
      </w:pPr>
      <w:r w:rsidRPr="00380311">
        <w:rPr>
          <w:sz w:val="22"/>
          <w:szCs w:val="22"/>
        </w:rPr>
        <w:t>The rollover counts against the annual HSA contribution limit and</w:t>
      </w:r>
      <w:r w:rsidR="00666615" w:rsidRPr="00380311">
        <w:rPr>
          <w:sz w:val="22"/>
          <w:szCs w:val="22"/>
        </w:rPr>
        <w:t>,</w:t>
      </w:r>
      <w:r w:rsidRPr="00380311">
        <w:rPr>
          <w:sz w:val="22"/>
          <w:szCs w:val="22"/>
        </w:rPr>
        <w:t xml:space="preserve"> as a result</w:t>
      </w:r>
      <w:r w:rsidR="00666615" w:rsidRPr="00380311">
        <w:rPr>
          <w:sz w:val="22"/>
          <w:szCs w:val="22"/>
        </w:rPr>
        <w:t>,</w:t>
      </w:r>
      <w:r w:rsidRPr="00380311">
        <w:rPr>
          <w:sz w:val="22"/>
          <w:szCs w:val="22"/>
        </w:rPr>
        <w:t xml:space="preserve"> reduces the HSA owner’s ability to reduce taxable income in the year of the rollover.</w:t>
      </w:r>
    </w:p>
    <w:p w14:paraId="20E63A27" w14:textId="77777777" w:rsidR="00A54300" w:rsidRPr="00380311" w:rsidRDefault="00A54300" w:rsidP="00A54300">
      <w:pPr>
        <w:pStyle w:val="BodyText"/>
        <w:numPr>
          <w:ilvl w:val="0"/>
          <w:numId w:val="16"/>
        </w:numPr>
        <w:spacing w:after="0"/>
        <w:rPr>
          <w:sz w:val="22"/>
          <w:szCs w:val="22"/>
          <w:u w:val="single"/>
        </w:rPr>
      </w:pPr>
      <w:r w:rsidRPr="00380311">
        <w:rPr>
          <w:sz w:val="22"/>
          <w:szCs w:val="22"/>
          <w:u w:val="single"/>
        </w:rPr>
        <w:t>Only one such rollover is permitted per lifetime.</w:t>
      </w:r>
    </w:p>
    <w:p w14:paraId="3B51A6DC" w14:textId="77777777" w:rsidR="00A54300" w:rsidRPr="00380311" w:rsidRDefault="00A54300" w:rsidP="00A54300">
      <w:pPr>
        <w:pStyle w:val="BodyText"/>
        <w:numPr>
          <w:ilvl w:val="0"/>
          <w:numId w:val="16"/>
        </w:numPr>
        <w:spacing w:after="0"/>
        <w:rPr>
          <w:sz w:val="22"/>
          <w:szCs w:val="22"/>
        </w:rPr>
      </w:pPr>
      <w:r w:rsidRPr="00380311">
        <w:rPr>
          <w:sz w:val="22"/>
          <w:szCs w:val="22"/>
        </w:rPr>
        <w:t>The HSA owner must remain an HSA</w:t>
      </w:r>
      <w:r w:rsidR="00666615" w:rsidRPr="00380311">
        <w:rPr>
          <w:sz w:val="22"/>
          <w:szCs w:val="22"/>
        </w:rPr>
        <w:t>-</w:t>
      </w:r>
      <w:r w:rsidRPr="00380311">
        <w:rPr>
          <w:sz w:val="22"/>
          <w:szCs w:val="22"/>
        </w:rPr>
        <w:t>eligible individual through a “testing period,” defined as the twelve</w:t>
      </w:r>
      <w:r w:rsidR="00666615" w:rsidRPr="00380311">
        <w:rPr>
          <w:sz w:val="22"/>
          <w:szCs w:val="22"/>
        </w:rPr>
        <w:t>-</w:t>
      </w:r>
      <w:r w:rsidRPr="00380311">
        <w:rPr>
          <w:sz w:val="22"/>
          <w:szCs w:val="22"/>
        </w:rPr>
        <w:t>month period following the month of the rollover (</w:t>
      </w:r>
      <w:r w:rsidRPr="00380311">
        <w:rPr>
          <w:iCs/>
          <w:sz w:val="22"/>
          <w:szCs w:val="22"/>
        </w:rPr>
        <w:t>i.e.,</w:t>
      </w:r>
      <w:r w:rsidRPr="00380311">
        <w:rPr>
          <w:sz w:val="22"/>
          <w:szCs w:val="22"/>
        </w:rPr>
        <w:t xml:space="preserve"> up to thirteen total months). </w:t>
      </w:r>
      <w:r w:rsidR="00666615" w:rsidRPr="00380311">
        <w:rPr>
          <w:sz w:val="22"/>
          <w:szCs w:val="22"/>
        </w:rPr>
        <w:t>If the individual ceases to be eligible</w:t>
      </w:r>
      <w:r w:rsidRPr="00380311">
        <w:rPr>
          <w:sz w:val="22"/>
          <w:szCs w:val="22"/>
        </w:rPr>
        <w:t xml:space="preserve"> for any reason other than death, the entire rollover becomes taxable and subject to penalty.</w:t>
      </w:r>
    </w:p>
    <w:p w14:paraId="467B24B5" w14:textId="77777777" w:rsidR="00A54300" w:rsidRPr="00380311" w:rsidRDefault="00A54300" w:rsidP="00A54300">
      <w:pPr>
        <w:pStyle w:val="BodyText"/>
        <w:spacing w:after="0"/>
        <w:ind w:left="720"/>
        <w:rPr>
          <w:sz w:val="22"/>
          <w:szCs w:val="22"/>
        </w:rPr>
      </w:pPr>
    </w:p>
    <w:p w14:paraId="7D3C04F9" w14:textId="77777777" w:rsidR="002545CC" w:rsidRPr="00380311" w:rsidRDefault="00666615" w:rsidP="00A54300">
      <w:pPr>
        <w:pStyle w:val="BodyText"/>
        <w:rPr>
          <w:sz w:val="22"/>
          <w:szCs w:val="22"/>
        </w:rPr>
      </w:pPr>
      <w:r w:rsidRPr="00380311">
        <w:rPr>
          <w:sz w:val="22"/>
          <w:szCs w:val="22"/>
        </w:rPr>
        <w:t xml:space="preserve">Although it </w:t>
      </w:r>
      <w:r w:rsidR="0062410C" w:rsidRPr="00380311">
        <w:rPr>
          <w:sz w:val="22"/>
          <w:szCs w:val="22"/>
        </w:rPr>
        <w:t>is possible</w:t>
      </w:r>
      <w:r w:rsidR="00A54300" w:rsidRPr="00380311">
        <w:rPr>
          <w:sz w:val="22"/>
          <w:szCs w:val="22"/>
        </w:rPr>
        <w:t xml:space="preserve"> to roll</w:t>
      </w:r>
      <w:r w:rsidRPr="00380311">
        <w:rPr>
          <w:sz w:val="22"/>
          <w:szCs w:val="22"/>
        </w:rPr>
        <w:t xml:space="preserve"> </w:t>
      </w:r>
      <w:r w:rsidR="00A54300" w:rsidRPr="00380311">
        <w:rPr>
          <w:sz w:val="22"/>
          <w:szCs w:val="22"/>
        </w:rPr>
        <w:t>over funds from one HSA to another HSA for the same account holder (e.g.</w:t>
      </w:r>
      <w:r w:rsidRPr="00380311">
        <w:rPr>
          <w:sz w:val="22"/>
          <w:szCs w:val="22"/>
        </w:rPr>
        <w:t>,</w:t>
      </w:r>
      <w:r w:rsidR="00A54300" w:rsidRPr="00380311">
        <w:rPr>
          <w:sz w:val="22"/>
          <w:szCs w:val="22"/>
        </w:rPr>
        <w:t xml:space="preserve"> individual changes HSA vendors or perhaps consolidates two separate HSAs), it</w:t>
      </w:r>
      <w:r w:rsidRPr="00380311">
        <w:rPr>
          <w:sz w:val="22"/>
          <w:szCs w:val="22"/>
        </w:rPr>
        <w:t>’</w:t>
      </w:r>
      <w:r w:rsidR="00A54300" w:rsidRPr="00380311">
        <w:rPr>
          <w:sz w:val="22"/>
          <w:szCs w:val="22"/>
        </w:rPr>
        <w:t>s not possible to roll</w:t>
      </w:r>
      <w:r w:rsidRPr="00380311">
        <w:rPr>
          <w:sz w:val="22"/>
          <w:szCs w:val="22"/>
        </w:rPr>
        <w:t xml:space="preserve"> </w:t>
      </w:r>
      <w:r w:rsidR="00A54300" w:rsidRPr="00380311">
        <w:rPr>
          <w:sz w:val="22"/>
          <w:szCs w:val="22"/>
        </w:rPr>
        <w:t>over HSA funds into another individual</w:t>
      </w:r>
      <w:r w:rsidRPr="00380311">
        <w:rPr>
          <w:sz w:val="22"/>
          <w:szCs w:val="22"/>
        </w:rPr>
        <w:t>’</w:t>
      </w:r>
      <w:r w:rsidR="00A54300" w:rsidRPr="00380311">
        <w:rPr>
          <w:sz w:val="22"/>
          <w:szCs w:val="22"/>
        </w:rPr>
        <w:t>s HSA. When HSA funds are transferred to another HSA of the same account holder, such rollover funds do not count toward the annual contribution limit.</w:t>
      </w:r>
    </w:p>
    <w:p w14:paraId="0297C0C4" w14:textId="77777777" w:rsidR="00A54300" w:rsidRPr="00A54300" w:rsidRDefault="00A54300" w:rsidP="00A54300">
      <w:pPr>
        <w:pStyle w:val="Heading2"/>
      </w:pPr>
      <w:r>
        <w:t>Death of an HSA Account Holder</w:t>
      </w:r>
    </w:p>
    <w:p w14:paraId="12CADFDF" w14:textId="77777777" w:rsidR="00E34BB9" w:rsidRDefault="00E34BB9" w:rsidP="00E34BB9">
      <w:pPr>
        <w:pStyle w:val="NormalWeb"/>
        <w:spacing w:before="0" w:beforeAutospacing="0" w:after="0" w:afterAutospacing="0"/>
        <w:rPr>
          <w:rFonts w:ascii="Arial" w:hAnsi="Arial" w:cs="Arial"/>
          <w:color w:val="252525"/>
          <w:sz w:val="22"/>
          <w:szCs w:val="22"/>
        </w:rPr>
      </w:pPr>
      <w:r w:rsidRPr="00003B91">
        <w:rPr>
          <w:rFonts w:ascii="Arial" w:hAnsi="Arial" w:cs="Arial"/>
          <w:color w:val="252525"/>
          <w:sz w:val="22"/>
          <w:szCs w:val="22"/>
        </w:rPr>
        <w:t>Upon the death of an HSA account holder, any amounts remaining in the HSA transfer to the beneficiary named in the HSA beneficiary designation form.</w:t>
      </w:r>
      <w:r w:rsidRPr="00003B91">
        <w:rPr>
          <w:rStyle w:val="apple-converted-space"/>
          <w:rFonts w:ascii="Arial" w:hAnsi="Arial" w:cs="Arial"/>
          <w:color w:val="252525"/>
          <w:sz w:val="22"/>
          <w:szCs w:val="22"/>
        </w:rPr>
        <w:t> </w:t>
      </w:r>
      <w:r w:rsidRPr="00003B91">
        <w:rPr>
          <w:rFonts w:ascii="Arial" w:hAnsi="Arial" w:cs="Arial"/>
          <w:color w:val="252525"/>
          <w:sz w:val="22"/>
          <w:szCs w:val="22"/>
        </w:rPr>
        <w:t>The HSA is then treated differently for purposes of taxation depending upon whether the beneficiary is the account holder's surviving spouse or someone else.</w:t>
      </w:r>
    </w:p>
    <w:p w14:paraId="0BFB1821" w14:textId="77777777" w:rsidR="00540F17" w:rsidRPr="00003B91" w:rsidRDefault="00540F17" w:rsidP="00E34BB9">
      <w:pPr>
        <w:pStyle w:val="NormalWeb"/>
        <w:spacing w:before="0" w:beforeAutospacing="0" w:after="0" w:afterAutospacing="0"/>
        <w:rPr>
          <w:rFonts w:ascii="Arial" w:hAnsi="Arial" w:cs="Arial"/>
          <w:color w:val="252525"/>
          <w:sz w:val="22"/>
          <w:szCs w:val="22"/>
        </w:rPr>
      </w:pPr>
    </w:p>
    <w:p w14:paraId="3AD95140" w14:textId="77777777" w:rsidR="00E34BB9" w:rsidRDefault="00E34BB9" w:rsidP="00676C04">
      <w:pPr>
        <w:numPr>
          <w:ilvl w:val="0"/>
          <w:numId w:val="11"/>
        </w:numPr>
        <w:spacing w:after="0"/>
        <w:rPr>
          <w:rFonts w:cs="Arial"/>
          <w:color w:val="252525"/>
        </w:rPr>
      </w:pPr>
      <w:r w:rsidRPr="00003B91">
        <w:rPr>
          <w:rFonts w:cs="Arial"/>
          <w:color w:val="252525"/>
          <w:u w:val="single"/>
        </w:rPr>
        <w:t>If the beneficiary is the deceased account holder's surviving spouse</w:t>
      </w:r>
      <w:r w:rsidRPr="00003B91">
        <w:rPr>
          <w:rFonts w:cs="Arial"/>
          <w:color w:val="252525"/>
        </w:rPr>
        <w:t>, then the spouse becomes the account holder of the HSA and the transfer is not taxable. The HSA amounts would be subject to income tax only to the extent that any distributions from the HSA were not used for qualified medical expenses.</w:t>
      </w:r>
      <w:r w:rsidRPr="00003B91">
        <w:rPr>
          <w:rStyle w:val="apple-converted-space"/>
          <w:rFonts w:cs="Arial"/>
          <w:color w:val="252525"/>
        </w:rPr>
        <w:t xml:space="preserve"> And at that point, like any other HSA account holder, </w:t>
      </w:r>
      <w:r w:rsidRPr="00003B91">
        <w:rPr>
          <w:rFonts w:cs="Arial"/>
          <w:color w:val="252525"/>
        </w:rPr>
        <w:t>the surviving spouse may designate a beneficiary to receive any amounts remaining in the HSA upon his or her own death, may roll over (or directly transfer) some or all of the HSA</w:t>
      </w:r>
      <w:r w:rsidR="00666615">
        <w:rPr>
          <w:rFonts w:cs="Arial"/>
          <w:color w:val="252525"/>
        </w:rPr>
        <w:t>'</w:t>
      </w:r>
      <w:r w:rsidRPr="00003B91">
        <w:rPr>
          <w:rFonts w:cs="Arial"/>
          <w:color w:val="252525"/>
        </w:rPr>
        <w:t>s account balance into another HSA or an Archer MSA, and may add to the HSA through rollovers, transfers, and contributions so long as the surviving spouse is HSA</w:t>
      </w:r>
      <w:r w:rsidR="00666615">
        <w:rPr>
          <w:rFonts w:cs="Arial"/>
          <w:color w:val="252525"/>
        </w:rPr>
        <w:t xml:space="preserve"> </w:t>
      </w:r>
      <w:r w:rsidRPr="00003B91">
        <w:rPr>
          <w:rFonts w:cs="Arial"/>
          <w:color w:val="252525"/>
        </w:rPr>
        <w:t xml:space="preserve">eligible.  </w:t>
      </w:r>
    </w:p>
    <w:p w14:paraId="3E0EE4FC" w14:textId="77777777" w:rsidR="00540F17" w:rsidRPr="00003B91" w:rsidRDefault="00540F17" w:rsidP="00540F17">
      <w:pPr>
        <w:spacing w:after="0"/>
        <w:ind w:left="360"/>
        <w:rPr>
          <w:rFonts w:cs="Arial"/>
          <w:color w:val="252525"/>
        </w:rPr>
      </w:pPr>
    </w:p>
    <w:p w14:paraId="5C735E21" w14:textId="77777777" w:rsidR="00E34BB9" w:rsidRPr="00003B91" w:rsidRDefault="00E34BB9" w:rsidP="00676C04">
      <w:pPr>
        <w:numPr>
          <w:ilvl w:val="0"/>
          <w:numId w:val="11"/>
        </w:numPr>
        <w:spacing w:after="0"/>
        <w:rPr>
          <w:rFonts w:cs="Arial"/>
          <w:color w:val="252525"/>
        </w:rPr>
      </w:pPr>
      <w:bookmarkStart w:id="12" w:name="CDHC:2334.13-1"/>
      <w:bookmarkEnd w:id="12"/>
      <w:r w:rsidRPr="00003B91">
        <w:rPr>
          <w:rFonts w:cs="Arial"/>
          <w:color w:val="252525"/>
          <w:u w:val="single"/>
        </w:rPr>
        <w:t>If the beneficiary is someone other than the deceased account holder</w:t>
      </w:r>
      <w:r w:rsidR="00666615">
        <w:rPr>
          <w:rFonts w:cs="Arial"/>
          <w:color w:val="252525"/>
          <w:u w:val="single"/>
        </w:rPr>
        <w:t>’</w:t>
      </w:r>
      <w:r w:rsidRPr="00003B91">
        <w:rPr>
          <w:rFonts w:cs="Arial"/>
          <w:color w:val="252525"/>
          <w:u w:val="single"/>
        </w:rPr>
        <w:t>s surviving spouse</w:t>
      </w:r>
      <w:r w:rsidRPr="00003B91">
        <w:rPr>
          <w:rFonts w:cs="Arial"/>
          <w:color w:val="252525"/>
        </w:rPr>
        <w:t>, then the HSA ceases to be an HSA, and an amount equal to the fair market value of the account assets as of the date of the account holder's death is includible in the beneficiary</w:t>
      </w:r>
      <w:r w:rsidR="00666615">
        <w:rPr>
          <w:rFonts w:cs="Arial"/>
          <w:color w:val="252525"/>
        </w:rPr>
        <w:t>’</w:t>
      </w:r>
      <w:r w:rsidRPr="00003B91">
        <w:rPr>
          <w:rFonts w:cs="Arial"/>
          <w:color w:val="252525"/>
        </w:rPr>
        <w:t>s gross income (or, if the beneficiary is the deceased account holder</w:t>
      </w:r>
      <w:r w:rsidR="00666615">
        <w:rPr>
          <w:rFonts w:cs="Arial"/>
          <w:color w:val="252525"/>
        </w:rPr>
        <w:t>’</w:t>
      </w:r>
      <w:r w:rsidRPr="00003B91">
        <w:rPr>
          <w:rFonts w:cs="Arial"/>
          <w:color w:val="252525"/>
        </w:rPr>
        <w:t>s estate, includible in the decedent</w:t>
      </w:r>
      <w:r w:rsidR="00666615">
        <w:rPr>
          <w:rFonts w:cs="Arial"/>
          <w:color w:val="252525"/>
        </w:rPr>
        <w:t>’</w:t>
      </w:r>
      <w:r w:rsidRPr="00003B91">
        <w:rPr>
          <w:rFonts w:cs="Arial"/>
          <w:color w:val="252525"/>
        </w:rPr>
        <w:t>s gross income for the year in which the death occurred).</w:t>
      </w:r>
      <w:r w:rsidRPr="00003B91">
        <w:rPr>
          <w:rFonts w:cs="Arial"/>
          <w:b/>
          <w:bCs/>
          <w:spacing w:val="2"/>
          <w:vertAlign w:val="superscript"/>
        </w:rPr>
        <w:t xml:space="preserve"> </w:t>
      </w:r>
      <w:r w:rsidRPr="00003B91">
        <w:rPr>
          <w:rFonts w:cs="Arial"/>
          <w:color w:val="252525"/>
        </w:rPr>
        <w:t> A non-spouse beneficiary (other than the deceased account holder</w:t>
      </w:r>
      <w:r w:rsidR="00666615">
        <w:rPr>
          <w:rFonts w:cs="Arial"/>
          <w:color w:val="252525"/>
        </w:rPr>
        <w:t>’</w:t>
      </w:r>
      <w:r w:rsidRPr="00003B91">
        <w:rPr>
          <w:rFonts w:cs="Arial"/>
          <w:color w:val="252525"/>
        </w:rPr>
        <w:t>s estate) may reduce the includible amount by the amount of any payments made from the HSA for qualified medical expenses incurred by the decedent before death, but only if the payments are made within one year after the death.</w:t>
      </w:r>
      <w:r w:rsidRPr="00003B91">
        <w:rPr>
          <w:rStyle w:val="apple-converted-space"/>
          <w:rFonts w:cs="Arial"/>
          <w:color w:val="252525"/>
        </w:rPr>
        <w:t> </w:t>
      </w:r>
      <w:r w:rsidRPr="00003B91">
        <w:rPr>
          <w:rFonts w:cs="Arial"/>
          <w:color w:val="252525"/>
        </w:rPr>
        <w:t>The beneficiary will also be entitled to a deduction for estate tax attributable to the amount included in income.</w:t>
      </w:r>
    </w:p>
    <w:p w14:paraId="50EEF5DF" w14:textId="77777777" w:rsidR="00E34BB9" w:rsidRPr="00E34BB9" w:rsidRDefault="00E34BB9" w:rsidP="00E34BB9">
      <w:pPr>
        <w:pStyle w:val="BodyText"/>
      </w:pPr>
    </w:p>
    <w:p w14:paraId="7A5B5CB3" w14:textId="77777777" w:rsidR="009C56E0" w:rsidRDefault="009C56E0" w:rsidP="008F3868"/>
    <w:p w14:paraId="1E00466D" w14:textId="77777777" w:rsidR="009C56E0" w:rsidRDefault="009C56E0" w:rsidP="008F3868"/>
    <w:p w14:paraId="0B9A7FC5" w14:textId="77777777" w:rsidR="009C56E0" w:rsidRDefault="009C56E0" w:rsidP="008F3868"/>
    <w:p w14:paraId="41245693" w14:textId="77777777" w:rsidR="00B84EF1" w:rsidRDefault="00B84EF1">
      <w:pPr>
        <w:spacing w:after="0"/>
      </w:pPr>
    </w:p>
    <w:p w14:paraId="2A1A0D1C" w14:textId="77777777" w:rsidR="00003B91" w:rsidRDefault="00003B91" w:rsidP="00003B91">
      <w:pPr>
        <w:pStyle w:val="Heading1"/>
      </w:pPr>
      <w:bookmarkStart w:id="13" w:name="_Toc510627678"/>
      <w:r>
        <w:t>Miscellaneous</w:t>
      </w:r>
      <w:bookmarkEnd w:id="13"/>
    </w:p>
    <w:p w14:paraId="4475BE7E" w14:textId="77777777" w:rsidR="002A080D" w:rsidRDefault="002A080D" w:rsidP="002A080D">
      <w:pPr>
        <w:pStyle w:val="Heading2"/>
      </w:pPr>
      <w:r>
        <w:t>ERISA and COBRA Considerations</w:t>
      </w:r>
    </w:p>
    <w:p w14:paraId="7419C103" w14:textId="77777777" w:rsidR="00212DF9" w:rsidRPr="00380311" w:rsidRDefault="00003B91" w:rsidP="00003B91">
      <w:pPr>
        <w:pStyle w:val="BodyText"/>
        <w:rPr>
          <w:sz w:val="22"/>
          <w:szCs w:val="22"/>
        </w:rPr>
      </w:pPr>
      <w:r w:rsidRPr="00380311">
        <w:rPr>
          <w:sz w:val="22"/>
          <w:szCs w:val="22"/>
        </w:rPr>
        <w:t xml:space="preserve">HSAs are not generally considered group health plans </w:t>
      </w:r>
      <w:r w:rsidR="0007209B" w:rsidRPr="00380311">
        <w:rPr>
          <w:sz w:val="22"/>
          <w:szCs w:val="22"/>
        </w:rPr>
        <w:t>and</w:t>
      </w:r>
      <w:r w:rsidRPr="00380311">
        <w:rPr>
          <w:sz w:val="22"/>
          <w:szCs w:val="22"/>
        </w:rPr>
        <w:t xml:space="preserve"> are therefore not subject to ERISA or COBRA continuation requirements. </w:t>
      </w:r>
    </w:p>
    <w:p w14:paraId="1B0E76BF" w14:textId="77777777" w:rsidR="006D16F1" w:rsidRDefault="002A080D" w:rsidP="002A080D">
      <w:pPr>
        <w:pStyle w:val="Heading2"/>
      </w:pPr>
      <w:r>
        <w:rPr>
          <w:rFonts w:cs="Arial"/>
        </w:rPr>
        <w:t>§</w:t>
      </w:r>
      <w:r>
        <w:t>4980H Considerations</w:t>
      </w:r>
    </w:p>
    <w:p w14:paraId="14EE2B2C" w14:textId="77777777" w:rsidR="002A080D" w:rsidRPr="00380311" w:rsidRDefault="007B0259" w:rsidP="002A080D">
      <w:pPr>
        <w:pStyle w:val="BodyText"/>
        <w:rPr>
          <w:sz w:val="22"/>
          <w:szCs w:val="22"/>
        </w:rPr>
      </w:pPr>
      <w:r w:rsidRPr="00380311">
        <w:rPr>
          <w:sz w:val="22"/>
          <w:szCs w:val="22"/>
        </w:rPr>
        <w:t>Although</w:t>
      </w:r>
      <w:r w:rsidR="00E23ECD" w:rsidRPr="00380311">
        <w:rPr>
          <w:sz w:val="22"/>
          <w:szCs w:val="22"/>
        </w:rPr>
        <w:t xml:space="preserve"> employer </w:t>
      </w:r>
      <w:r w:rsidR="006D16F1" w:rsidRPr="00380311">
        <w:rPr>
          <w:sz w:val="22"/>
          <w:szCs w:val="22"/>
        </w:rPr>
        <w:t>HSA</w:t>
      </w:r>
      <w:r w:rsidR="00E23ECD" w:rsidRPr="00380311">
        <w:rPr>
          <w:sz w:val="22"/>
          <w:szCs w:val="22"/>
        </w:rPr>
        <w:t xml:space="preserve"> contributions may be taken into consideration when determining whether an HDHP provides minimum value (i.e.</w:t>
      </w:r>
      <w:r w:rsidRPr="00380311">
        <w:rPr>
          <w:sz w:val="22"/>
          <w:szCs w:val="22"/>
        </w:rPr>
        <w:t>,</w:t>
      </w:r>
      <w:r w:rsidR="00E23ECD" w:rsidRPr="00380311">
        <w:rPr>
          <w:sz w:val="22"/>
          <w:szCs w:val="22"/>
        </w:rPr>
        <w:t xml:space="preserve"> 60% or better actuarial value), </w:t>
      </w:r>
      <w:r w:rsidR="002A080D" w:rsidRPr="00380311">
        <w:rPr>
          <w:sz w:val="22"/>
          <w:szCs w:val="22"/>
        </w:rPr>
        <w:t>employer HSA contributions do not affect affordability since HSAs cannot generally be used to pay premiums for employer-sponsored health coverage.</w:t>
      </w:r>
    </w:p>
    <w:p w14:paraId="0FFAE9CA" w14:textId="77777777" w:rsidR="006D16F1" w:rsidRDefault="002A080D" w:rsidP="002A080D">
      <w:pPr>
        <w:pStyle w:val="Heading2"/>
      </w:pPr>
      <w:r>
        <w:t>IRS Reporting Requirements</w:t>
      </w:r>
    </w:p>
    <w:p w14:paraId="27E7A3B4" w14:textId="77777777" w:rsidR="00AE7348" w:rsidRPr="00380311" w:rsidRDefault="00AE7348" w:rsidP="00715485">
      <w:pPr>
        <w:pStyle w:val="BodyText"/>
        <w:rPr>
          <w:sz w:val="22"/>
          <w:szCs w:val="22"/>
        </w:rPr>
      </w:pPr>
      <w:r w:rsidRPr="00380311">
        <w:rPr>
          <w:sz w:val="22"/>
          <w:szCs w:val="22"/>
        </w:rPr>
        <w:t>HSA owners are required to report HSA contributions and distributions on Form 8889, which is then filed with the Form 1040.</w:t>
      </w:r>
      <w:r w:rsidR="00660CFB" w:rsidRPr="00380311">
        <w:rPr>
          <w:sz w:val="22"/>
          <w:szCs w:val="22"/>
        </w:rPr>
        <w:t xml:space="preserve"> Excess contributions must be reported on Form 5329.</w:t>
      </w:r>
    </w:p>
    <w:p w14:paraId="7C800881" w14:textId="77777777" w:rsidR="00660CFB" w:rsidRPr="00380311" w:rsidRDefault="00660CFB" w:rsidP="00715485">
      <w:pPr>
        <w:pStyle w:val="BodyText"/>
        <w:rPr>
          <w:sz w:val="22"/>
          <w:szCs w:val="22"/>
        </w:rPr>
      </w:pPr>
      <w:r w:rsidRPr="00380311">
        <w:rPr>
          <w:rFonts w:cs="Arial"/>
          <w:color w:val="252525"/>
          <w:sz w:val="22"/>
          <w:szCs w:val="22"/>
        </w:rPr>
        <w:t>Employers must report all employer contributions to employees</w:t>
      </w:r>
      <w:r w:rsidR="007B0259" w:rsidRPr="00380311">
        <w:rPr>
          <w:rFonts w:cs="Arial"/>
          <w:color w:val="252525"/>
          <w:sz w:val="22"/>
          <w:szCs w:val="22"/>
        </w:rPr>
        <w:t>’</w:t>
      </w:r>
      <w:r w:rsidRPr="00380311">
        <w:rPr>
          <w:rFonts w:cs="Arial"/>
          <w:color w:val="252525"/>
          <w:sz w:val="22"/>
          <w:szCs w:val="22"/>
        </w:rPr>
        <w:t xml:space="preserve"> HSAs in Box 12 of Form W-2</w:t>
      </w:r>
      <w:r w:rsidRPr="00380311">
        <w:rPr>
          <w:sz w:val="22"/>
          <w:szCs w:val="22"/>
        </w:rPr>
        <w:t>,</w:t>
      </w:r>
      <w:r w:rsidRPr="00380311">
        <w:rPr>
          <w:rFonts w:cs="Arial"/>
          <w:color w:val="252525"/>
          <w:sz w:val="22"/>
          <w:szCs w:val="22"/>
        </w:rPr>
        <w:t> using code W. For this purpose, employer contributions include all contributions made through a cafeteria plan—even pre-tax salary reductions. Employer contributions to an HSA that are not excludable from the income of the employee must also be reported in Boxes 1, 3, and 5 of Form W-2.</w:t>
      </w:r>
    </w:p>
    <w:p w14:paraId="56D32E14" w14:textId="77777777" w:rsidR="00E64719" w:rsidRDefault="00E64719" w:rsidP="00003B91">
      <w:pPr>
        <w:pStyle w:val="BodyText"/>
      </w:pPr>
    </w:p>
    <w:p w14:paraId="7E9BA0C9" w14:textId="77777777" w:rsidR="0079307B" w:rsidRDefault="0079307B" w:rsidP="000E4A50">
      <w:pPr>
        <w:pStyle w:val="Heading1"/>
      </w:pPr>
      <w:bookmarkStart w:id="14" w:name="AppendixA"/>
      <w:bookmarkStart w:id="15" w:name="_Toc510627679"/>
      <w:bookmarkEnd w:id="14"/>
      <w:r>
        <w:t>Appendix A – HDHP Requirements and Contribution Limits</w:t>
      </w:r>
      <w:bookmarkEnd w:id="15"/>
    </w:p>
    <w:p w14:paraId="337431F6" w14:textId="77777777" w:rsidR="0079307B" w:rsidRDefault="0079307B" w:rsidP="0079307B">
      <w:pPr>
        <w:pStyle w:val="BodyText"/>
      </w:pPr>
    </w:p>
    <w:tbl>
      <w:tblPr>
        <w:tblpPr w:leftFromText="180" w:rightFromText="180" w:vertAnchor="text" w:horzAnchor="margin" w:tblpY="-34"/>
        <w:tblW w:w="8694" w:type="dxa"/>
        <w:tblCellMar>
          <w:left w:w="0" w:type="dxa"/>
          <w:right w:w="0" w:type="dxa"/>
        </w:tblCellMar>
        <w:tblLook w:val="0420" w:firstRow="1" w:lastRow="0" w:firstColumn="0" w:lastColumn="0" w:noHBand="0" w:noVBand="1"/>
      </w:tblPr>
      <w:tblGrid>
        <w:gridCol w:w="1494"/>
        <w:gridCol w:w="2430"/>
        <w:gridCol w:w="2430"/>
        <w:gridCol w:w="2340"/>
      </w:tblGrid>
      <w:tr w:rsidR="0079307B" w:rsidRPr="00BB779E" w14:paraId="4EB3C512" w14:textId="77777777" w:rsidTr="0079307B">
        <w:tc>
          <w:tcPr>
            <w:tcW w:w="1494" w:type="dxa"/>
            <w:tcBorders>
              <w:top w:val="single" w:sz="8" w:space="0" w:color="FFFFFF"/>
              <w:left w:val="single" w:sz="8" w:space="0" w:color="FFFFFF"/>
              <w:bottom w:val="single" w:sz="24" w:space="0" w:color="FFFFFF"/>
              <w:right w:val="single" w:sz="8" w:space="0" w:color="FFFFFF"/>
            </w:tcBorders>
            <w:shd w:val="clear" w:color="auto" w:fill="4F81BD"/>
          </w:tcPr>
          <w:p w14:paraId="0BAD766C" w14:textId="77777777" w:rsidR="0079307B" w:rsidRDefault="0079307B" w:rsidP="000210D7">
            <w:pPr>
              <w:rPr>
                <w:b/>
                <w:bCs/>
              </w:rPr>
            </w:pP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18A4CEB9" w14:textId="77777777" w:rsidR="0079307B" w:rsidRPr="00BB779E" w:rsidRDefault="0079307B" w:rsidP="000210D7">
            <w:r>
              <w:rPr>
                <w:b/>
                <w:bCs/>
              </w:rPr>
              <w:t>HDHP Minimum Deductible</w:t>
            </w: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059B5F9C" w14:textId="77777777" w:rsidR="0079307B" w:rsidRPr="00BB779E" w:rsidRDefault="0079307B" w:rsidP="000210D7">
            <w:r>
              <w:rPr>
                <w:b/>
                <w:bCs/>
              </w:rPr>
              <w:t>HDHP Maximum OOP</w:t>
            </w:r>
          </w:p>
        </w:tc>
        <w:tc>
          <w:tcPr>
            <w:tcW w:w="2340" w:type="dxa"/>
            <w:tcBorders>
              <w:top w:val="single" w:sz="8" w:space="0" w:color="FFFFFF"/>
              <w:left w:val="single" w:sz="8" w:space="0" w:color="FFFFFF"/>
              <w:bottom w:val="single" w:sz="24" w:space="0" w:color="FFFFFF"/>
              <w:right w:val="single" w:sz="8" w:space="0" w:color="FFFFFF"/>
            </w:tcBorders>
            <w:shd w:val="clear" w:color="auto" w:fill="4F81BD"/>
          </w:tcPr>
          <w:p w14:paraId="34AF9354" w14:textId="77777777" w:rsidR="0079307B" w:rsidRDefault="00E64719" w:rsidP="00E64719">
            <w:pPr>
              <w:rPr>
                <w:b/>
                <w:bCs/>
              </w:rPr>
            </w:pPr>
            <w:r>
              <w:rPr>
                <w:b/>
                <w:bCs/>
              </w:rPr>
              <w:t xml:space="preserve"> </w:t>
            </w:r>
            <w:r w:rsidR="0079307B">
              <w:rPr>
                <w:b/>
                <w:bCs/>
              </w:rPr>
              <w:t>HSA Contribution Limit</w:t>
            </w:r>
          </w:p>
        </w:tc>
      </w:tr>
      <w:tr w:rsidR="0079307B" w:rsidRPr="00B0638B" w14:paraId="45636327" w14:textId="77777777" w:rsidTr="00880F24">
        <w:tc>
          <w:tcPr>
            <w:tcW w:w="1494" w:type="dxa"/>
            <w:tcBorders>
              <w:top w:val="single" w:sz="24" w:space="0" w:color="FFFFFF"/>
              <w:left w:val="single" w:sz="8" w:space="0" w:color="FFFFFF"/>
              <w:bottom w:val="single" w:sz="8" w:space="0" w:color="FFFFFF"/>
              <w:right w:val="single" w:sz="8" w:space="0" w:color="FFFFFF"/>
            </w:tcBorders>
            <w:shd w:val="clear" w:color="auto" w:fill="B4C6E7"/>
          </w:tcPr>
          <w:p w14:paraId="619C2F49" w14:textId="77777777" w:rsidR="0079307B" w:rsidRPr="0079307B" w:rsidRDefault="0079307B" w:rsidP="008E7C24">
            <w:pPr>
              <w:jc w:val="center"/>
              <w:rPr>
                <w:b/>
              </w:rPr>
            </w:pPr>
            <w:r w:rsidRPr="0079307B">
              <w:rPr>
                <w:b/>
              </w:rPr>
              <w:t>2014</w:t>
            </w:r>
          </w:p>
        </w:tc>
        <w:tc>
          <w:tcPr>
            <w:tcW w:w="2430" w:type="dxa"/>
            <w:tcBorders>
              <w:top w:val="single" w:sz="24"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3FCEE500" w14:textId="77777777" w:rsidR="0079307B" w:rsidRPr="008E7C24" w:rsidRDefault="0079307B" w:rsidP="008E7C24">
            <w:pPr>
              <w:jc w:val="center"/>
              <w:rPr>
                <w:rFonts w:cs="Arial"/>
              </w:rPr>
            </w:pPr>
            <w:r w:rsidRPr="008E7C24">
              <w:rPr>
                <w:rFonts w:cs="Arial"/>
              </w:rPr>
              <w:t>Single - $1,250</w:t>
            </w:r>
          </w:p>
        </w:tc>
        <w:tc>
          <w:tcPr>
            <w:tcW w:w="2430" w:type="dxa"/>
            <w:tcBorders>
              <w:top w:val="single" w:sz="24"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7F3416E6" w14:textId="77777777" w:rsidR="0079307B" w:rsidRPr="008E7C24" w:rsidRDefault="0079307B" w:rsidP="008E7C24">
            <w:pPr>
              <w:spacing w:after="0"/>
              <w:jc w:val="center"/>
              <w:rPr>
                <w:rFonts w:cs="Arial"/>
              </w:rPr>
            </w:pPr>
            <w:r w:rsidRPr="008E7C24">
              <w:rPr>
                <w:rFonts w:cs="Arial"/>
              </w:rPr>
              <w:t>Single - $6,350</w:t>
            </w:r>
          </w:p>
        </w:tc>
        <w:tc>
          <w:tcPr>
            <w:tcW w:w="2340" w:type="dxa"/>
            <w:tcBorders>
              <w:top w:val="single" w:sz="24" w:space="0" w:color="FFFFFF"/>
              <w:left w:val="single" w:sz="8" w:space="0" w:color="FFFFFF"/>
              <w:bottom w:val="single" w:sz="8" w:space="0" w:color="FFFFFF"/>
              <w:right w:val="single" w:sz="8" w:space="0" w:color="FFFFFF"/>
            </w:tcBorders>
            <w:shd w:val="clear" w:color="auto" w:fill="B4C6E7"/>
          </w:tcPr>
          <w:p w14:paraId="0C5F76F6" w14:textId="77777777" w:rsidR="0079307B" w:rsidRPr="008E7C24" w:rsidRDefault="0079307B" w:rsidP="008E7C24">
            <w:pPr>
              <w:spacing w:after="0"/>
              <w:jc w:val="center"/>
              <w:rPr>
                <w:rFonts w:cs="Arial"/>
              </w:rPr>
            </w:pPr>
            <w:r w:rsidRPr="008E7C24">
              <w:rPr>
                <w:rFonts w:cs="Arial"/>
              </w:rPr>
              <w:t>Single - $3,300</w:t>
            </w:r>
          </w:p>
        </w:tc>
      </w:tr>
      <w:tr w:rsidR="0079307B" w:rsidRPr="00B0638B" w14:paraId="304F6D92" w14:textId="77777777" w:rsidTr="007B2299">
        <w:tc>
          <w:tcPr>
            <w:tcW w:w="1494" w:type="dxa"/>
            <w:tcBorders>
              <w:top w:val="single" w:sz="24" w:space="0" w:color="FFFFFF"/>
              <w:left w:val="single" w:sz="8" w:space="0" w:color="FFFFFF"/>
              <w:bottom w:val="single" w:sz="8" w:space="0" w:color="FFFFFF"/>
              <w:right w:val="single" w:sz="8" w:space="0" w:color="FFFFFF"/>
            </w:tcBorders>
            <w:shd w:val="clear" w:color="auto" w:fill="DEEAF6"/>
          </w:tcPr>
          <w:p w14:paraId="10DFBA52" w14:textId="77777777" w:rsidR="0079307B" w:rsidRPr="0079307B" w:rsidRDefault="0079307B" w:rsidP="008E7C24">
            <w:pPr>
              <w:jc w:val="center"/>
              <w:rPr>
                <w:b/>
              </w:rPr>
            </w:pPr>
          </w:p>
        </w:tc>
        <w:tc>
          <w:tcPr>
            <w:tcW w:w="2430" w:type="dxa"/>
            <w:tcBorders>
              <w:top w:val="single" w:sz="24"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71FB8585" w14:textId="77777777" w:rsidR="0079307B" w:rsidRPr="008E7C24" w:rsidRDefault="0079307B" w:rsidP="008E7C24">
            <w:pPr>
              <w:jc w:val="center"/>
              <w:rPr>
                <w:rFonts w:cs="Arial"/>
              </w:rPr>
            </w:pPr>
            <w:r w:rsidRPr="008E7C24">
              <w:rPr>
                <w:rFonts w:cs="Arial"/>
              </w:rPr>
              <w:t>Family - $2,500</w:t>
            </w:r>
          </w:p>
        </w:tc>
        <w:tc>
          <w:tcPr>
            <w:tcW w:w="2430" w:type="dxa"/>
            <w:tcBorders>
              <w:top w:val="single" w:sz="24"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593E4630" w14:textId="77777777" w:rsidR="0079307B" w:rsidRPr="008E7C24" w:rsidRDefault="0079307B" w:rsidP="008E7C24">
            <w:pPr>
              <w:spacing w:after="0"/>
              <w:jc w:val="center"/>
              <w:rPr>
                <w:rFonts w:cs="Arial"/>
              </w:rPr>
            </w:pPr>
            <w:r w:rsidRPr="008E7C24">
              <w:rPr>
                <w:rFonts w:cs="Arial"/>
              </w:rPr>
              <w:t>Family - $12,700</w:t>
            </w:r>
          </w:p>
        </w:tc>
        <w:tc>
          <w:tcPr>
            <w:tcW w:w="2340" w:type="dxa"/>
            <w:tcBorders>
              <w:top w:val="single" w:sz="24" w:space="0" w:color="FFFFFF"/>
              <w:left w:val="single" w:sz="8" w:space="0" w:color="FFFFFF"/>
              <w:bottom w:val="single" w:sz="8" w:space="0" w:color="FFFFFF"/>
              <w:right w:val="single" w:sz="8" w:space="0" w:color="FFFFFF"/>
            </w:tcBorders>
            <w:shd w:val="clear" w:color="auto" w:fill="DEEAF6"/>
          </w:tcPr>
          <w:p w14:paraId="4517777A" w14:textId="77777777" w:rsidR="0079307B" w:rsidRPr="008E7C24" w:rsidRDefault="0079307B" w:rsidP="008E7C24">
            <w:pPr>
              <w:spacing w:after="0"/>
              <w:jc w:val="center"/>
              <w:rPr>
                <w:rFonts w:cs="Arial"/>
              </w:rPr>
            </w:pPr>
            <w:r w:rsidRPr="008E7C24">
              <w:rPr>
                <w:rFonts w:cs="Arial"/>
              </w:rPr>
              <w:t>Family - $6,550</w:t>
            </w:r>
          </w:p>
        </w:tc>
      </w:tr>
      <w:tr w:rsidR="0079307B" w:rsidRPr="00B0638B" w14:paraId="099897F1" w14:textId="77777777" w:rsidTr="00880F24">
        <w:tc>
          <w:tcPr>
            <w:tcW w:w="1494" w:type="dxa"/>
            <w:tcBorders>
              <w:top w:val="single" w:sz="24" w:space="0" w:color="FFFFFF"/>
              <w:left w:val="single" w:sz="8" w:space="0" w:color="FFFFFF"/>
              <w:bottom w:val="single" w:sz="8" w:space="0" w:color="FFFFFF"/>
              <w:right w:val="single" w:sz="8" w:space="0" w:color="FFFFFF"/>
            </w:tcBorders>
            <w:shd w:val="clear" w:color="auto" w:fill="B4C6E7"/>
          </w:tcPr>
          <w:p w14:paraId="722B433E" w14:textId="77777777" w:rsidR="0079307B" w:rsidRPr="0079307B" w:rsidRDefault="0079307B" w:rsidP="008E7C24">
            <w:pPr>
              <w:jc w:val="center"/>
              <w:rPr>
                <w:b/>
              </w:rPr>
            </w:pPr>
            <w:r w:rsidRPr="0079307B">
              <w:rPr>
                <w:b/>
              </w:rPr>
              <w:t>2015</w:t>
            </w:r>
          </w:p>
        </w:tc>
        <w:tc>
          <w:tcPr>
            <w:tcW w:w="2430" w:type="dxa"/>
            <w:tcBorders>
              <w:top w:val="single" w:sz="24"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00BF8D20" w14:textId="77777777" w:rsidR="0079307B" w:rsidRPr="008E7C24" w:rsidRDefault="0079307B" w:rsidP="008E7C24">
            <w:pPr>
              <w:jc w:val="center"/>
              <w:rPr>
                <w:rFonts w:cs="Arial"/>
              </w:rPr>
            </w:pPr>
            <w:r w:rsidRPr="008E7C24">
              <w:rPr>
                <w:rFonts w:cs="Arial"/>
              </w:rPr>
              <w:t>Single - $1,300</w:t>
            </w:r>
          </w:p>
        </w:tc>
        <w:tc>
          <w:tcPr>
            <w:tcW w:w="2430" w:type="dxa"/>
            <w:tcBorders>
              <w:top w:val="single" w:sz="24"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4F95B1CE" w14:textId="77777777" w:rsidR="0079307B" w:rsidRPr="008E7C24" w:rsidRDefault="0079307B" w:rsidP="008E7C24">
            <w:pPr>
              <w:spacing w:after="0"/>
              <w:jc w:val="center"/>
              <w:rPr>
                <w:rFonts w:cs="Arial"/>
              </w:rPr>
            </w:pPr>
            <w:r w:rsidRPr="008E7C24">
              <w:rPr>
                <w:rFonts w:cs="Arial"/>
              </w:rPr>
              <w:t>Single - $6,450</w:t>
            </w:r>
          </w:p>
        </w:tc>
        <w:tc>
          <w:tcPr>
            <w:tcW w:w="2340" w:type="dxa"/>
            <w:tcBorders>
              <w:top w:val="single" w:sz="24" w:space="0" w:color="FFFFFF"/>
              <w:left w:val="single" w:sz="8" w:space="0" w:color="FFFFFF"/>
              <w:bottom w:val="single" w:sz="8" w:space="0" w:color="FFFFFF"/>
              <w:right w:val="single" w:sz="8" w:space="0" w:color="FFFFFF"/>
            </w:tcBorders>
            <w:shd w:val="clear" w:color="auto" w:fill="B4C6E7"/>
          </w:tcPr>
          <w:p w14:paraId="3CD319FB" w14:textId="77777777" w:rsidR="0079307B" w:rsidRPr="008E7C24" w:rsidRDefault="0079307B" w:rsidP="008E7C24">
            <w:pPr>
              <w:spacing w:after="0"/>
              <w:jc w:val="center"/>
              <w:rPr>
                <w:rFonts w:cs="Arial"/>
              </w:rPr>
            </w:pPr>
            <w:r w:rsidRPr="008E7C24">
              <w:rPr>
                <w:rFonts w:cs="Arial"/>
              </w:rPr>
              <w:t>Single - $3,350</w:t>
            </w:r>
          </w:p>
        </w:tc>
      </w:tr>
      <w:tr w:rsidR="0079307B" w:rsidRPr="00E706E1" w14:paraId="70018CD5"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3E099F4A" w14:textId="77777777" w:rsidR="0079307B" w:rsidRPr="0079307B" w:rsidRDefault="0079307B" w:rsidP="008E7C24">
            <w:pPr>
              <w:jc w:val="center"/>
              <w:rPr>
                <w:b/>
              </w:rPr>
            </w:pP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1230B034" w14:textId="77777777" w:rsidR="0079307B" w:rsidRPr="008E7C24" w:rsidRDefault="0079307B" w:rsidP="008E7C24">
            <w:pPr>
              <w:jc w:val="center"/>
              <w:rPr>
                <w:rFonts w:cs="Arial"/>
              </w:rPr>
            </w:pPr>
            <w:r w:rsidRPr="008E7C24">
              <w:rPr>
                <w:rFonts w:cs="Arial"/>
              </w:rPr>
              <w:t>Family - $2,600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70E477F4" w14:textId="77777777" w:rsidR="0079307B" w:rsidRPr="008E7C24" w:rsidRDefault="0079307B" w:rsidP="008E7C24">
            <w:pPr>
              <w:jc w:val="center"/>
              <w:rPr>
                <w:rFonts w:cs="Arial"/>
              </w:rPr>
            </w:pPr>
            <w:r w:rsidRPr="008E7C24">
              <w:rPr>
                <w:rFonts w:cs="Arial"/>
              </w:rPr>
              <w:t>Family - $12,900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07DACD45" w14:textId="77777777" w:rsidR="0079307B" w:rsidRPr="008E7C24" w:rsidRDefault="0079307B" w:rsidP="008E7C24">
            <w:pPr>
              <w:jc w:val="center"/>
              <w:rPr>
                <w:rFonts w:cs="Arial"/>
              </w:rPr>
            </w:pPr>
            <w:r w:rsidRPr="008E7C24">
              <w:rPr>
                <w:rFonts w:cs="Arial"/>
              </w:rPr>
              <w:t>Family - $6,650</w:t>
            </w:r>
          </w:p>
        </w:tc>
      </w:tr>
      <w:tr w:rsidR="0079307B" w:rsidRPr="00E706E1" w14:paraId="76F7D97D"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0684AD23" w14:textId="77777777" w:rsidR="0079307B" w:rsidRPr="0079307B" w:rsidRDefault="0079307B" w:rsidP="008E7C24">
            <w:pPr>
              <w:jc w:val="center"/>
              <w:rPr>
                <w:b/>
              </w:rPr>
            </w:pPr>
            <w:r w:rsidRPr="0079307B">
              <w:rPr>
                <w:b/>
              </w:rPr>
              <w:t>2016</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2AF2BE9B" w14:textId="77777777" w:rsidR="0079307B" w:rsidRPr="008E7C24" w:rsidRDefault="0079307B" w:rsidP="008E7C24">
            <w:pPr>
              <w:jc w:val="center"/>
              <w:rPr>
                <w:rFonts w:cs="Arial"/>
              </w:rPr>
            </w:pPr>
            <w:r w:rsidRPr="008E7C24">
              <w:rPr>
                <w:rFonts w:cs="Arial"/>
              </w:rPr>
              <w:t>Single - $1,300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3D86FE33" w14:textId="77777777" w:rsidR="0079307B" w:rsidRPr="008E7C24" w:rsidRDefault="0079307B" w:rsidP="008E7C24">
            <w:pPr>
              <w:jc w:val="center"/>
              <w:rPr>
                <w:rFonts w:cs="Arial"/>
              </w:rPr>
            </w:pPr>
            <w:r w:rsidRPr="008E7C24">
              <w:rPr>
                <w:rFonts w:cs="Arial"/>
              </w:rPr>
              <w:t>Single - $6,550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7ED2C5B6" w14:textId="77777777" w:rsidR="0079307B" w:rsidRPr="008E7C24" w:rsidRDefault="0079307B" w:rsidP="008E7C24">
            <w:pPr>
              <w:jc w:val="center"/>
              <w:rPr>
                <w:rFonts w:cs="Arial"/>
              </w:rPr>
            </w:pPr>
            <w:r w:rsidRPr="008E7C24">
              <w:rPr>
                <w:rFonts w:cs="Arial"/>
              </w:rPr>
              <w:t>Single - $3,350</w:t>
            </w:r>
          </w:p>
        </w:tc>
      </w:tr>
      <w:tr w:rsidR="0079307B" w:rsidRPr="00E706E1" w14:paraId="65922839"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1D5F92B7" w14:textId="77777777" w:rsidR="0079307B" w:rsidRPr="0079307B" w:rsidRDefault="0079307B" w:rsidP="008E7C24">
            <w:pPr>
              <w:jc w:val="center"/>
              <w:rPr>
                <w:b/>
              </w:rPr>
            </w:pP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768C2528" w14:textId="77777777" w:rsidR="0079307B" w:rsidRPr="008E7C24" w:rsidRDefault="0079307B" w:rsidP="008E7C24">
            <w:pPr>
              <w:jc w:val="center"/>
              <w:rPr>
                <w:rFonts w:cs="Arial"/>
              </w:rPr>
            </w:pPr>
            <w:r w:rsidRPr="008E7C24">
              <w:rPr>
                <w:rFonts w:cs="Arial"/>
              </w:rPr>
              <w:t>Family - $2,600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797A75F3" w14:textId="77777777" w:rsidR="0079307B" w:rsidRPr="008E7C24" w:rsidRDefault="0079307B" w:rsidP="008E7C24">
            <w:pPr>
              <w:pStyle w:val="ColorfulList-Accent12"/>
              <w:spacing w:after="0" w:line="240" w:lineRule="auto"/>
              <w:ind w:left="0"/>
              <w:jc w:val="center"/>
              <w:rPr>
                <w:rFonts w:ascii="Arial" w:hAnsi="Arial" w:cs="Arial"/>
              </w:rPr>
            </w:pPr>
            <w:r w:rsidRPr="008E7C24">
              <w:rPr>
                <w:rFonts w:ascii="Arial" w:hAnsi="Arial" w:cs="Arial"/>
              </w:rPr>
              <w:t>Family - $13,100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6A0BE662" w14:textId="77777777" w:rsidR="0079307B" w:rsidRPr="008E7C24" w:rsidRDefault="0079307B" w:rsidP="008E7C24">
            <w:pPr>
              <w:pStyle w:val="ColorfulList-Accent12"/>
              <w:spacing w:after="0" w:line="240" w:lineRule="auto"/>
              <w:ind w:left="0"/>
              <w:jc w:val="center"/>
              <w:rPr>
                <w:rFonts w:ascii="Arial" w:hAnsi="Arial" w:cs="Arial"/>
              </w:rPr>
            </w:pPr>
            <w:r w:rsidRPr="008E7C24">
              <w:rPr>
                <w:rFonts w:ascii="Arial" w:hAnsi="Arial" w:cs="Arial"/>
              </w:rPr>
              <w:t>Family - $6,750</w:t>
            </w:r>
          </w:p>
        </w:tc>
      </w:tr>
      <w:tr w:rsidR="0079307B" w:rsidRPr="00B0638B" w14:paraId="281B2FBD"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331DFEC1" w14:textId="77777777" w:rsidR="0079307B" w:rsidRPr="0079307B" w:rsidRDefault="0079307B" w:rsidP="008E7C24">
            <w:pPr>
              <w:jc w:val="center"/>
              <w:rPr>
                <w:b/>
              </w:rPr>
            </w:pPr>
            <w:r w:rsidRPr="0079307B">
              <w:rPr>
                <w:b/>
              </w:rPr>
              <w:t>2017</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20C3091B" w14:textId="77777777" w:rsidR="0079307B" w:rsidRPr="008E7C24" w:rsidRDefault="0079307B" w:rsidP="008E7C24">
            <w:pPr>
              <w:jc w:val="center"/>
              <w:rPr>
                <w:rFonts w:cs="Arial"/>
              </w:rPr>
            </w:pPr>
            <w:r w:rsidRPr="008E7C24">
              <w:rPr>
                <w:rFonts w:cs="Arial"/>
              </w:rPr>
              <w:t>Single - $1,300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75412639" w14:textId="77777777" w:rsidR="0079307B" w:rsidRPr="008E7C24" w:rsidRDefault="0079307B" w:rsidP="008E7C24">
            <w:pPr>
              <w:jc w:val="center"/>
              <w:rPr>
                <w:rFonts w:cs="Arial"/>
              </w:rPr>
            </w:pPr>
            <w:r w:rsidRPr="008E7C24">
              <w:rPr>
                <w:rFonts w:cs="Arial"/>
              </w:rPr>
              <w:t>Single - $6,550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5F645B9B" w14:textId="77777777" w:rsidR="0079307B" w:rsidRPr="008E7C24" w:rsidRDefault="0079307B" w:rsidP="008E7C24">
            <w:pPr>
              <w:jc w:val="center"/>
              <w:rPr>
                <w:rFonts w:cs="Arial"/>
              </w:rPr>
            </w:pPr>
            <w:r w:rsidRPr="008E7C24">
              <w:rPr>
                <w:rFonts w:cs="Arial"/>
              </w:rPr>
              <w:t>Single - $3,400</w:t>
            </w:r>
          </w:p>
        </w:tc>
      </w:tr>
      <w:tr w:rsidR="0079307B" w:rsidRPr="00E706E1" w14:paraId="793B4F77"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360324C0" w14:textId="77777777" w:rsidR="0079307B" w:rsidRPr="0079307B" w:rsidRDefault="0079307B" w:rsidP="008E7C24">
            <w:pPr>
              <w:spacing w:after="0"/>
              <w:jc w:val="center"/>
              <w:rPr>
                <w:b/>
              </w:rPr>
            </w:pP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31A5B158" w14:textId="77777777" w:rsidR="0079307B" w:rsidRPr="008E7C24" w:rsidRDefault="0079307B" w:rsidP="008E7C24">
            <w:pPr>
              <w:jc w:val="center"/>
              <w:rPr>
                <w:rFonts w:cs="Arial"/>
              </w:rPr>
            </w:pPr>
            <w:r w:rsidRPr="008E7C24">
              <w:rPr>
                <w:rFonts w:cs="Arial"/>
              </w:rPr>
              <w:t>Family - $2,600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3C913D68" w14:textId="77777777" w:rsidR="0079307B" w:rsidRPr="008E7C24" w:rsidRDefault="0079307B" w:rsidP="008E7C24">
            <w:pPr>
              <w:jc w:val="center"/>
              <w:rPr>
                <w:rFonts w:cs="Arial"/>
              </w:rPr>
            </w:pPr>
            <w:r w:rsidRPr="008E7C24">
              <w:rPr>
                <w:rFonts w:cs="Arial"/>
              </w:rPr>
              <w:t>Family - $13,100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2AEDA0B7" w14:textId="77777777" w:rsidR="0079307B" w:rsidRPr="008E7C24" w:rsidRDefault="0079307B" w:rsidP="008E7C24">
            <w:pPr>
              <w:jc w:val="center"/>
              <w:rPr>
                <w:rFonts w:cs="Arial"/>
              </w:rPr>
            </w:pPr>
            <w:r w:rsidRPr="008E7C24">
              <w:rPr>
                <w:rFonts w:cs="Arial"/>
              </w:rPr>
              <w:t>Family - $6,750</w:t>
            </w:r>
          </w:p>
        </w:tc>
      </w:tr>
      <w:tr w:rsidR="0079307B" w:rsidRPr="00E706E1" w14:paraId="45F9CA6B"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736470E7" w14:textId="77777777" w:rsidR="0079307B" w:rsidRPr="0079307B" w:rsidRDefault="0079307B" w:rsidP="008E7C24">
            <w:pPr>
              <w:jc w:val="center"/>
              <w:rPr>
                <w:b/>
              </w:rPr>
            </w:pPr>
            <w:r w:rsidRPr="0079307B">
              <w:rPr>
                <w:b/>
              </w:rPr>
              <w:t>2018</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6F4C44AD" w14:textId="77777777" w:rsidR="0079307B" w:rsidRPr="008E7C24" w:rsidRDefault="0079307B" w:rsidP="008E7C24">
            <w:pPr>
              <w:jc w:val="center"/>
              <w:rPr>
                <w:rFonts w:cs="Arial"/>
              </w:rPr>
            </w:pPr>
            <w:r w:rsidRPr="008E7C24">
              <w:rPr>
                <w:rFonts w:cs="Arial"/>
              </w:rPr>
              <w:t>Single - $1,350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hideMark/>
          </w:tcPr>
          <w:p w14:paraId="5BF39D4D" w14:textId="77777777" w:rsidR="0079307B" w:rsidRPr="008E7C24" w:rsidRDefault="0079307B" w:rsidP="008E7C24">
            <w:pPr>
              <w:jc w:val="center"/>
              <w:rPr>
                <w:rFonts w:cs="Arial"/>
              </w:rPr>
            </w:pPr>
            <w:r w:rsidRPr="008E7C24">
              <w:rPr>
                <w:rFonts w:cs="Arial"/>
              </w:rPr>
              <w:t>Single - $6,650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2BE687F0" w14:textId="77777777" w:rsidR="0079307B" w:rsidRPr="008E7C24" w:rsidRDefault="0079307B" w:rsidP="008E7C24">
            <w:pPr>
              <w:jc w:val="center"/>
              <w:rPr>
                <w:rFonts w:cs="Arial"/>
              </w:rPr>
            </w:pPr>
            <w:r w:rsidRPr="008E7C24">
              <w:rPr>
                <w:rFonts w:cs="Arial"/>
              </w:rPr>
              <w:t>Single - $3,450</w:t>
            </w:r>
          </w:p>
        </w:tc>
      </w:tr>
      <w:tr w:rsidR="0079307B" w:rsidRPr="00B0638B" w14:paraId="0124607A"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1AD7489C" w14:textId="77777777" w:rsidR="0079307B" w:rsidRPr="00B0638B" w:rsidRDefault="0079307B" w:rsidP="0079307B"/>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50094510" w14:textId="77777777" w:rsidR="0079307B" w:rsidRPr="008E7C24" w:rsidRDefault="0079307B" w:rsidP="008E7C24">
            <w:pPr>
              <w:jc w:val="center"/>
              <w:rPr>
                <w:rFonts w:cs="Arial"/>
              </w:rPr>
            </w:pPr>
            <w:r w:rsidRPr="008E7C24">
              <w:rPr>
                <w:rFonts w:cs="Arial"/>
              </w:rPr>
              <w:t>Family - $2,700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hideMark/>
          </w:tcPr>
          <w:p w14:paraId="0EAB6017" w14:textId="77777777" w:rsidR="0079307B" w:rsidRPr="008E7C24" w:rsidRDefault="0079307B" w:rsidP="008E7C24">
            <w:pPr>
              <w:jc w:val="center"/>
              <w:rPr>
                <w:rFonts w:cs="Arial"/>
              </w:rPr>
            </w:pPr>
            <w:r w:rsidRPr="008E7C24">
              <w:rPr>
                <w:rFonts w:cs="Arial"/>
              </w:rPr>
              <w:t>Family - $13,300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5F920DB2" w14:textId="77777777" w:rsidR="0079307B" w:rsidRPr="008E7C24" w:rsidRDefault="0079307B" w:rsidP="008E7C24">
            <w:pPr>
              <w:jc w:val="center"/>
              <w:rPr>
                <w:rFonts w:cs="Arial"/>
              </w:rPr>
            </w:pPr>
            <w:r w:rsidRPr="008E7C24">
              <w:rPr>
                <w:rFonts w:cs="Arial"/>
              </w:rPr>
              <w:t>Family - $6,</w:t>
            </w:r>
            <w:r w:rsidR="005217C3">
              <w:rPr>
                <w:rFonts w:cs="Arial"/>
              </w:rPr>
              <w:t>90</w:t>
            </w:r>
            <w:r w:rsidRPr="008E7C24">
              <w:rPr>
                <w:rFonts w:cs="Arial"/>
              </w:rPr>
              <w:t>0</w:t>
            </w:r>
          </w:p>
        </w:tc>
      </w:tr>
      <w:tr w:rsidR="0047124A" w:rsidRPr="00B0638B" w14:paraId="29A37731"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6B95D0A1" w14:textId="77777777" w:rsidR="0047124A" w:rsidRPr="0079307B" w:rsidRDefault="0047124A" w:rsidP="0047124A">
            <w:pPr>
              <w:jc w:val="center"/>
              <w:rPr>
                <w:b/>
              </w:rPr>
            </w:pPr>
            <w:r w:rsidRPr="0079307B">
              <w:rPr>
                <w:b/>
              </w:rPr>
              <w:t>201</w:t>
            </w:r>
            <w:r>
              <w:rPr>
                <w:b/>
              </w:rPr>
              <w:t>9</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6D71A60D" w14:textId="77777777" w:rsidR="0047124A" w:rsidRPr="008E7C24" w:rsidRDefault="0047124A" w:rsidP="0047124A">
            <w:pPr>
              <w:jc w:val="center"/>
              <w:rPr>
                <w:rFonts w:cs="Arial"/>
              </w:rPr>
            </w:pPr>
            <w:r w:rsidRPr="008E7C24">
              <w:rPr>
                <w:rFonts w:cs="Arial"/>
              </w:rPr>
              <w:t>Single - $1,350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3BFC25F4" w14:textId="77777777" w:rsidR="0047124A" w:rsidRPr="008E7C24" w:rsidRDefault="0047124A" w:rsidP="0047124A">
            <w:pPr>
              <w:jc w:val="center"/>
              <w:rPr>
                <w:rFonts w:cs="Arial"/>
              </w:rPr>
            </w:pPr>
            <w:r w:rsidRPr="008E7C24">
              <w:rPr>
                <w:rFonts w:cs="Arial"/>
              </w:rPr>
              <w:t>Single - $6,</w:t>
            </w:r>
            <w:r>
              <w:rPr>
                <w:rFonts w:cs="Arial"/>
              </w:rPr>
              <w:t>7</w:t>
            </w:r>
            <w:r w:rsidRPr="008E7C24">
              <w:rPr>
                <w:rFonts w:cs="Arial"/>
              </w:rPr>
              <w:t>50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5348C467" w14:textId="77777777" w:rsidR="0047124A" w:rsidRPr="008E7C24" w:rsidRDefault="0047124A" w:rsidP="0047124A">
            <w:pPr>
              <w:jc w:val="center"/>
              <w:rPr>
                <w:rFonts w:cs="Arial"/>
              </w:rPr>
            </w:pPr>
            <w:r w:rsidRPr="008E7C24">
              <w:rPr>
                <w:rFonts w:cs="Arial"/>
              </w:rPr>
              <w:t>Single - $3,</w:t>
            </w:r>
            <w:r>
              <w:rPr>
                <w:rFonts w:cs="Arial"/>
              </w:rPr>
              <w:t>50</w:t>
            </w:r>
            <w:r w:rsidRPr="008E7C24">
              <w:rPr>
                <w:rFonts w:cs="Arial"/>
              </w:rPr>
              <w:t>0</w:t>
            </w:r>
          </w:p>
        </w:tc>
      </w:tr>
      <w:tr w:rsidR="0047124A" w:rsidRPr="00B0638B" w14:paraId="763437AE"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7F20491F" w14:textId="77777777" w:rsidR="0047124A" w:rsidRPr="00B0638B" w:rsidRDefault="0047124A" w:rsidP="0047124A"/>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14A21E8E" w14:textId="77777777" w:rsidR="0047124A" w:rsidRPr="008E7C24" w:rsidRDefault="0047124A" w:rsidP="0047124A">
            <w:pPr>
              <w:jc w:val="center"/>
              <w:rPr>
                <w:rFonts w:cs="Arial"/>
              </w:rPr>
            </w:pPr>
            <w:r w:rsidRPr="008E7C24">
              <w:rPr>
                <w:rFonts w:cs="Arial"/>
              </w:rPr>
              <w:t>Family - $2,700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2A7ADD77" w14:textId="77777777" w:rsidR="0047124A" w:rsidRPr="008E7C24" w:rsidRDefault="0047124A" w:rsidP="0047124A">
            <w:pPr>
              <w:jc w:val="center"/>
              <w:rPr>
                <w:rFonts w:cs="Arial"/>
              </w:rPr>
            </w:pPr>
            <w:r w:rsidRPr="008E7C24">
              <w:rPr>
                <w:rFonts w:cs="Arial"/>
              </w:rPr>
              <w:t>Family - $13,</w:t>
            </w:r>
            <w:r>
              <w:rPr>
                <w:rFonts w:cs="Arial"/>
              </w:rPr>
              <w:t>5</w:t>
            </w:r>
            <w:r w:rsidRPr="008E7C24">
              <w:rPr>
                <w:rFonts w:cs="Arial"/>
              </w:rPr>
              <w:t>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468EFAB1" w14:textId="77777777" w:rsidR="0047124A" w:rsidRPr="008E7C24" w:rsidRDefault="0047124A" w:rsidP="0047124A">
            <w:pPr>
              <w:jc w:val="center"/>
              <w:rPr>
                <w:rFonts w:cs="Arial"/>
              </w:rPr>
            </w:pPr>
            <w:r w:rsidRPr="008E7C24">
              <w:rPr>
                <w:rFonts w:cs="Arial"/>
              </w:rPr>
              <w:t>Family - $</w:t>
            </w:r>
            <w:r>
              <w:rPr>
                <w:rFonts w:cs="Arial"/>
              </w:rPr>
              <w:t>7,00</w:t>
            </w:r>
            <w:r w:rsidRPr="008E7C24">
              <w:rPr>
                <w:rFonts w:cs="Arial"/>
              </w:rPr>
              <w:t>0</w:t>
            </w:r>
          </w:p>
        </w:tc>
      </w:tr>
      <w:tr w:rsidR="00322CC8" w:rsidRPr="00B0638B" w14:paraId="46882769"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4C49172E" w14:textId="77777777" w:rsidR="00322CC8" w:rsidRPr="0079307B" w:rsidRDefault="00322CC8" w:rsidP="00322CC8">
            <w:pPr>
              <w:jc w:val="center"/>
              <w:rPr>
                <w:b/>
              </w:rPr>
            </w:pPr>
            <w:r w:rsidRPr="0079307B">
              <w:rPr>
                <w:b/>
              </w:rPr>
              <w:t>20</w:t>
            </w:r>
            <w:r>
              <w:rPr>
                <w:b/>
              </w:rPr>
              <w:t>20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2B0B1B0D" w14:textId="77777777" w:rsidR="00322CC8" w:rsidRPr="008E7C24" w:rsidRDefault="00322CC8" w:rsidP="00322CC8">
            <w:pPr>
              <w:jc w:val="center"/>
              <w:rPr>
                <w:rFonts w:cs="Arial"/>
              </w:rPr>
            </w:pPr>
            <w:r w:rsidRPr="008E7C24">
              <w:rPr>
                <w:rFonts w:cs="Arial"/>
              </w:rPr>
              <w:t>Single - $1,</w:t>
            </w:r>
            <w:r>
              <w:rPr>
                <w:rFonts w:cs="Arial"/>
              </w:rPr>
              <w:t>40</w:t>
            </w:r>
            <w:r w:rsidRPr="008E7C24">
              <w:rPr>
                <w:rFonts w:cs="Arial"/>
              </w:rPr>
              <w:t>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6419854E" w14:textId="77777777" w:rsidR="00322CC8" w:rsidRPr="008E7C24" w:rsidRDefault="00322CC8" w:rsidP="00322CC8">
            <w:pPr>
              <w:jc w:val="center"/>
              <w:rPr>
                <w:rFonts w:cs="Arial"/>
              </w:rPr>
            </w:pPr>
            <w:r w:rsidRPr="008E7C24">
              <w:rPr>
                <w:rFonts w:cs="Arial"/>
              </w:rPr>
              <w:t>Single - $6,</w:t>
            </w:r>
            <w:r>
              <w:rPr>
                <w:rFonts w:cs="Arial"/>
              </w:rPr>
              <w:t>90</w:t>
            </w:r>
            <w:r w:rsidRPr="008E7C24">
              <w:rPr>
                <w:rFonts w:cs="Arial"/>
              </w:rPr>
              <w:t>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421BFB65" w14:textId="77777777" w:rsidR="00322CC8" w:rsidRPr="008E7C24" w:rsidRDefault="00322CC8" w:rsidP="00322CC8">
            <w:pPr>
              <w:jc w:val="center"/>
              <w:rPr>
                <w:rFonts w:cs="Arial"/>
              </w:rPr>
            </w:pPr>
            <w:r w:rsidRPr="008E7C24">
              <w:rPr>
                <w:rFonts w:cs="Arial"/>
              </w:rPr>
              <w:t>Single - $3,</w:t>
            </w:r>
            <w:r>
              <w:rPr>
                <w:rFonts w:cs="Arial"/>
              </w:rPr>
              <w:t>55</w:t>
            </w:r>
            <w:r w:rsidRPr="008E7C24">
              <w:rPr>
                <w:rFonts w:cs="Arial"/>
              </w:rPr>
              <w:t>0</w:t>
            </w:r>
          </w:p>
        </w:tc>
      </w:tr>
      <w:tr w:rsidR="00322CC8" w:rsidRPr="00B0638B" w14:paraId="166895D7"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705CB930" w14:textId="77777777" w:rsidR="00322CC8" w:rsidRPr="00B0638B" w:rsidRDefault="00322CC8" w:rsidP="00322CC8"/>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303962AB" w14:textId="77777777" w:rsidR="00322CC8" w:rsidRPr="008E7C24" w:rsidRDefault="00322CC8" w:rsidP="00322CC8">
            <w:pPr>
              <w:jc w:val="center"/>
              <w:rPr>
                <w:rFonts w:cs="Arial"/>
              </w:rPr>
            </w:pPr>
            <w:r w:rsidRPr="008E7C24">
              <w:rPr>
                <w:rFonts w:cs="Arial"/>
              </w:rPr>
              <w:t>Family - $2,</w:t>
            </w:r>
            <w:r>
              <w:rPr>
                <w:rFonts w:cs="Arial"/>
              </w:rPr>
              <w:t>8</w:t>
            </w:r>
            <w:r w:rsidRPr="008E7C24">
              <w:rPr>
                <w:rFonts w:cs="Arial"/>
              </w:rPr>
              <w:t>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248B1A42" w14:textId="77777777" w:rsidR="00322CC8" w:rsidRPr="008E7C24" w:rsidRDefault="00322CC8" w:rsidP="00322CC8">
            <w:pPr>
              <w:jc w:val="center"/>
              <w:rPr>
                <w:rFonts w:cs="Arial"/>
              </w:rPr>
            </w:pPr>
            <w:r w:rsidRPr="008E7C24">
              <w:rPr>
                <w:rFonts w:cs="Arial"/>
              </w:rPr>
              <w:t>Family - $13,</w:t>
            </w:r>
            <w:r>
              <w:rPr>
                <w:rFonts w:cs="Arial"/>
              </w:rPr>
              <w:t>8</w:t>
            </w:r>
            <w:r w:rsidRPr="008E7C24">
              <w:rPr>
                <w:rFonts w:cs="Arial"/>
              </w:rPr>
              <w:t>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077B0B2E" w14:textId="77777777" w:rsidR="00322CC8" w:rsidRPr="008E7C24" w:rsidRDefault="00322CC8" w:rsidP="00322CC8">
            <w:pPr>
              <w:jc w:val="center"/>
              <w:rPr>
                <w:rFonts w:cs="Arial"/>
              </w:rPr>
            </w:pPr>
            <w:r w:rsidRPr="008E7C24">
              <w:rPr>
                <w:rFonts w:cs="Arial"/>
              </w:rPr>
              <w:t>Family - $</w:t>
            </w:r>
            <w:r>
              <w:rPr>
                <w:rFonts w:cs="Arial"/>
              </w:rPr>
              <w:t>7,10</w:t>
            </w:r>
            <w:r w:rsidRPr="008E7C24">
              <w:rPr>
                <w:rFonts w:cs="Arial"/>
              </w:rPr>
              <w:t>0</w:t>
            </w:r>
          </w:p>
        </w:tc>
      </w:tr>
      <w:tr w:rsidR="00B40854" w:rsidRPr="00B0638B" w14:paraId="46A67820" w14:textId="77777777" w:rsidTr="00880F24">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45492070" w14:textId="77777777" w:rsidR="00B40854" w:rsidRPr="00B0638B" w:rsidRDefault="00B40854" w:rsidP="00B40854">
            <w:pPr>
              <w:jc w:val="center"/>
            </w:pPr>
            <w:r w:rsidRPr="0079307B">
              <w:rPr>
                <w:b/>
              </w:rPr>
              <w:t>20</w:t>
            </w:r>
            <w:r>
              <w:rPr>
                <w:b/>
              </w:rPr>
              <w:t>21</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216E3F88" w14:textId="77777777" w:rsidR="00B40854" w:rsidRPr="008E7C24" w:rsidRDefault="00B40854" w:rsidP="00B40854">
            <w:pPr>
              <w:jc w:val="center"/>
              <w:rPr>
                <w:rFonts w:cs="Arial"/>
              </w:rPr>
            </w:pPr>
            <w:r w:rsidRPr="008E7C24">
              <w:rPr>
                <w:rFonts w:cs="Arial"/>
              </w:rPr>
              <w:t>Single - $1,</w:t>
            </w:r>
            <w:r>
              <w:rPr>
                <w:rFonts w:cs="Arial"/>
              </w:rPr>
              <w:t>40</w:t>
            </w:r>
            <w:r w:rsidRPr="008E7C24">
              <w:rPr>
                <w:rFonts w:cs="Arial"/>
              </w:rPr>
              <w:t>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1D880BE4" w14:textId="77777777" w:rsidR="00B40854" w:rsidRPr="008E7C24" w:rsidRDefault="00B40854" w:rsidP="00B40854">
            <w:pPr>
              <w:jc w:val="center"/>
              <w:rPr>
                <w:rFonts w:cs="Arial"/>
              </w:rPr>
            </w:pPr>
            <w:r w:rsidRPr="008E7C24">
              <w:rPr>
                <w:rFonts w:cs="Arial"/>
              </w:rPr>
              <w:t>Single - $</w:t>
            </w:r>
            <w:r>
              <w:rPr>
                <w:rFonts w:cs="Arial"/>
              </w:rPr>
              <w:t>7,000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073CE83F" w14:textId="77777777" w:rsidR="00B40854" w:rsidRPr="008E7C24" w:rsidRDefault="00B40854" w:rsidP="00B40854">
            <w:pPr>
              <w:jc w:val="center"/>
              <w:rPr>
                <w:rFonts w:cs="Arial"/>
              </w:rPr>
            </w:pPr>
            <w:r w:rsidRPr="008E7C24">
              <w:rPr>
                <w:rFonts w:cs="Arial"/>
              </w:rPr>
              <w:t>Single - $3,</w:t>
            </w:r>
            <w:r>
              <w:rPr>
                <w:rFonts w:cs="Arial"/>
              </w:rPr>
              <w:t>60</w:t>
            </w:r>
            <w:r w:rsidRPr="008E7C24">
              <w:rPr>
                <w:rFonts w:cs="Arial"/>
              </w:rPr>
              <w:t>0</w:t>
            </w:r>
          </w:p>
        </w:tc>
      </w:tr>
      <w:tr w:rsidR="00B40854" w:rsidRPr="00B0638B" w14:paraId="047F4F25"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7B5B4926" w14:textId="77777777" w:rsidR="00B40854" w:rsidRPr="00B0638B" w:rsidRDefault="00B40854" w:rsidP="00B40854"/>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78123BB9" w14:textId="77777777" w:rsidR="00B40854" w:rsidRPr="008E7C24" w:rsidRDefault="00B40854" w:rsidP="00B40854">
            <w:pPr>
              <w:jc w:val="center"/>
              <w:rPr>
                <w:rFonts w:cs="Arial"/>
              </w:rPr>
            </w:pPr>
            <w:r w:rsidRPr="008E7C24">
              <w:rPr>
                <w:rFonts w:cs="Arial"/>
              </w:rPr>
              <w:t>Family - $2,</w:t>
            </w:r>
            <w:r>
              <w:rPr>
                <w:rFonts w:cs="Arial"/>
              </w:rPr>
              <w:t>8</w:t>
            </w:r>
            <w:r w:rsidRPr="008E7C24">
              <w:rPr>
                <w:rFonts w:cs="Arial"/>
              </w:rPr>
              <w:t>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6E8A3166" w14:textId="77777777" w:rsidR="00B40854" w:rsidRPr="008E7C24" w:rsidRDefault="00B40854" w:rsidP="00B40854">
            <w:pPr>
              <w:jc w:val="center"/>
              <w:rPr>
                <w:rFonts w:cs="Arial"/>
              </w:rPr>
            </w:pPr>
            <w:r w:rsidRPr="008E7C24">
              <w:rPr>
                <w:rFonts w:cs="Arial"/>
              </w:rPr>
              <w:t>Family - $</w:t>
            </w:r>
            <w:r>
              <w:rPr>
                <w:rFonts w:cs="Arial"/>
              </w:rPr>
              <w:t>14,000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4696065F" w14:textId="77777777" w:rsidR="00B40854" w:rsidRPr="008E7C24" w:rsidRDefault="00B40854" w:rsidP="00B40854">
            <w:pPr>
              <w:jc w:val="center"/>
              <w:rPr>
                <w:rFonts w:cs="Arial"/>
              </w:rPr>
            </w:pPr>
            <w:r w:rsidRPr="008E7C24">
              <w:rPr>
                <w:rFonts w:cs="Arial"/>
              </w:rPr>
              <w:t>Family - $</w:t>
            </w:r>
            <w:r>
              <w:rPr>
                <w:rFonts w:cs="Arial"/>
              </w:rPr>
              <w:t>7,20</w:t>
            </w:r>
            <w:r w:rsidRPr="008E7C24">
              <w:rPr>
                <w:rFonts w:cs="Arial"/>
              </w:rPr>
              <w:t>0</w:t>
            </w:r>
          </w:p>
        </w:tc>
      </w:tr>
      <w:tr w:rsidR="00540F17" w:rsidRPr="00B0638B" w14:paraId="0611F6DB" w14:textId="77777777" w:rsidTr="00064E5C">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230BEFBF" w14:textId="77777777" w:rsidR="00540F17" w:rsidRPr="00B0638B" w:rsidRDefault="00540F17" w:rsidP="00540F17">
            <w:pPr>
              <w:jc w:val="center"/>
            </w:pPr>
            <w:r w:rsidRPr="0079307B">
              <w:rPr>
                <w:b/>
              </w:rPr>
              <w:t>20</w:t>
            </w:r>
            <w:r>
              <w:rPr>
                <w:b/>
              </w:rPr>
              <w:t>22</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1BF939CC" w14:textId="77777777" w:rsidR="00540F17" w:rsidRPr="008E7C24" w:rsidRDefault="00540F17" w:rsidP="00540F17">
            <w:pPr>
              <w:jc w:val="center"/>
              <w:rPr>
                <w:rFonts w:cs="Arial"/>
              </w:rPr>
            </w:pPr>
            <w:r w:rsidRPr="008E7C24">
              <w:rPr>
                <w:rFonts w:cs="Arial"/>
              </w:rPr>
              <w:t>Single - $1,</w:t>
            </w:r>
            <w:r>
              <w:rPr>
                <w:rFonts w:cs="Arial"/>
              </w:rPr>
              <w:t>40</w:t>
            </w:r>
            <w:r w:rsidRPr="008E7C24">
              <w:rPr>
                <w:rFonts w:cs="Arial"/>
              </w:rPr>
              <w:t>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432AFE8E" w14:textId="77777777" w:rsidR="00540F17" w:rsidRPr="008E7C24" w:rsidRDefault="00540F17" w:rsidP="00540F17">
            <w:pPr>
              <w:jc w:val="center"/>
              <w:rPr>
                <w:rFonts w:cs="Arial"/>
              </w:rPr>
            </w:pPr>
            <w:r w:rsidRPr="008E7C24">
              <w:rPr>
                <w:rFonts w:cs="Arial"/>
              </w:rPr>
              <w:t>Single - $</w:t>
            </w:r>
            <w:r>
              <w:rPr>
                <w:rFonts w:cs="Arial"/>
              </w:rPr>
              <w:t>7,050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6374774F" w14:textId="77777777" w:rsidR="00540F17" w:rsidRPr="008E7C24" w:rsidRDefault="00540F17" w:rsidP="00540F17">
            <w:pPr>
              <w:jc w:val="center"/>
              <w:rPr>
                <w:rFonts w:cs="Arial"/>
              </w:rPr>
            </w:pPr>
            <w:r w:rsidRPr="008E7C24">
              <w:rPr>
                <w:rFonts w:cs="Arial"/>
              </w:rPr>
              <w:t>Single - $3,</w:t>
            </w:r>
            <w:r>
              <w:rPr>
                <w:rFonts w:cs="Arial"/>
              </w:rPr>
              <w:t>65</w:t>
            </w:r>
            <w:r w:rsidRPr="008E7C24">
              <w:rPr>
                <w:rFonts w:cs="Arial"/>
              </w:rPr>
              <w:t>0</w:t>
            </w:r>
          </w:p>
        </w:tc>
      </w:tr>
      <w:tr w:rsidR="00540F17" w:rsidRPr="00B0638B" w14:paraId="7B09D2A2"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7A37EB46" w14:textId="77777777" w:rsidR="00540F17" w:rsidRPr="00B0638B" w:rsidRDefault="00540F17" w:rsidP="00540F17"/>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4E49D3B7" w14:textId="77777777" w:rsidR="00540F17" w:rsidRPr="008E7C24" w:rsidRDefault="00540F17" w:rsidP="00540F17">
            <w:pPr>
              <w:jc w:val="center"/>
              <w:rPr>
                <w:rFonts w:cs="Arial"/>
              </w:rPr>
            </w:pPr>
            <w:r w:rsidRPr="008E7C24">
              <w:rPr>
                <w:rFonts w:cs="Arial"/>
              </w:rPr>
              <w:t>Family - $2,</w:t>
            </w:r>
            <w:r>
              <w:rPr>
                <w:rFonts w:cs="Arial"/>
              </w:rPr>
              <w:t>8</w:t>
            </w:r>
            <w:r w:rsidRPr="008E7C24">
              <w:rPr>
                <w:rFonts w:cs="Arial"/>
              </w:rPr>
              <w:t>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014BF3EB" w14:textId="77777777" w:rsidR="00540F17" w:rsidRPr="008E7C24" w:rsidRDefault="00540F17" w:rsidP="00540F17">
            <w:pPr>
              <w:jc w:val="center"/>
              <w:rPr>
                <w:rFonts w:cs="Arial"/>
              </w:rPr>
            </w:pPr>
            <w:r w:rsidRPr="008E7C24">
              <w:rPr>
                <w:rFonts w:cs="Arial"/>
              </w:rPr>
              <w:t>Family - $</w:t>
            </w:r>
            <w:r>
              <w:rPr>
                <w:rFonts w:cs="Arial"/>
              </w:rPr>
              <w:t>14,100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59D92914" w14:textId="77777777" w:rsidR="00540F17" w:rsidRPr="008E7C24" w:rsidRDefault="00540F17" w:rsidP="00540F17">
            <w:pPr>
              <w:jc w:val="center"/>
              <w:rPr>
                <w:rFonts w:cs="Arial"/>
              </w:rPr>
            </w:pPr>
            <w:r w:rsidRPr="008E7C24">
              <w:rPr>
                <w:rFonts w:cs="Arial"/>
              </w:rPr>
              <w:t>Family - $</w:t>
            </w:r>
            <w:r>
              <w:rPr>
                <w:rFonts w:cs="Arial"/>
              </w:rPr>
              <w:t>7,30</w:t>
            </w:r>
            <w:r w:rsidRPr="008E7C24">
              <w:rPr>
                <w:rFonts w:cs="Arial"/>
              </w:rPr>
              <w:t>0</w:t>
            </w:r>
          </w:p>
        </w:tc>
      </w:tr>
      <w:tr w:rsidR="00881C29" w:rsidRPr="00B0638B" w14:paraId="75376C06" w14:textId="77777777" w:rsidTr="004B13C7">
        <w:tc>
          <w:tcPr>
            <w:tcW w:w="1494" w:type="dxa"/>
            <w:tcBorders>
              <w:top w:val="single" w:sz="8" w:space="0" w:color="FFFFFF"/>
              <w:left w:val="single" w:sz="8" w:space="0" w:color="FFFFFF"/>
              <w:bottom w:val="single" w:sz="8" w:space="0" w:color="FFFFFF"/>
              <w:right w:val="single" w:sz="8" w:space="0" w:color="FFFFFF"/>
            </w:tcBorders>
            <w:shd w:val="clear" w:color="auto" w:fill="B4C6E7"/>
          </w:tcPr>
          <w:p w14:paraId="42E28B82" w14:textId="77777777" w:rsidR="00881C29" w:rsidRPr="00881C29" w:rsidRDefault="00881C29" w:rsidP="00881C29">
            <w:pPr>
              <w:jc w:val="center"/>
              <w:rPr>
                <w:b/>
                <w:bCs/>
              </w:rPr>
            </w:pPr>
            <w:r>
              <w:rPr>
                <w:b/>
                <w:bCs/>
              </w:rPr>
              <w:t>2023</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080EE168" w14:textId="77777777" w:rsidR="00881C29" w:rsidRPr="008E7C24" w:rsidRDefault="00881C29" w:rsidP="00540F17">
            <w:pPr>
              <w:jc w:val="center"/>
              <w:rPr>
                <w:rFonts w:cs="Arial"/>
              </w:rPr>
            </w:pPr>
            <w:r>
              <w:rPr>
                <w:rFonts w:cs="Arial"/>
              </w:rPr>
              <w:t>Single - $1,500</w:t>
            </w:r>
          </w:p>
        </w:tc>
        <w:tc>
          <w:tcPr>
            <w:tcW w:w="2430" w:type="dxa"/>
            <w:tcBorders>
              <w:top w:val="single" w:sz="8" w:space="0" w:color="FFFFFF"/>
              <w:left w:val="single" w:sz="8" w:space="0" w:color="FFFFFF"/>
              <w:bottom w:val="single" w:sz="8" w:space="0" w:color="FFFFFF"/>
              <w:right w:val="single" w:sz="8" w:space="0" w:color="FFFFFF"/>
            </w:tcBorders>
            <w:shd w:val="clear" w:color="auto" w:fill="B4C6E7"/>
            <w:tcMar>
              <w:top w:w="58" w:type="dxa"/>
              <w:left w:w="144" w:type="dxa"/>
              <w:bottom w:w="0" w:type="dxa"/>
              <w:right w:w="144" w:type="dxa"/>
            </w:tcMar>
            <w:vAlign w:val="center"/>
          </w:tcPr>
          <w:p w14:paraId="3DEA0AD4" w14:textId="77777777" w:rsidR="00881C29" w:rsidRPr="008E7C24" w:rsidRDefault="00881C29" w:rsidP="00540F17">
            <w:pPr>
              <w:jc w:val="center"/>
              <w:rPr>
                <w:rFonts w:cs="Arial"/>
              </w:rPr>
            </w:pPr>
            <w:r>
              <w:rPr>
                <w:rFonts w:cs="Arial"/>
              </w:rPr>
              <w:t>Single - $7,500</w:t>
            </w:r>
          </w:p>
        </w:tc>
        <w:tc>
          <w:tcPr>
            <w:tcW w:w="2340" w:type="dxa"/>
            <w:tcBorders>
              <w:top w:val="single" w:sz="8" w:space="0" w:color="FFFFFF"/>
              <w:left w:val="single" w:sz="8" w:space="0" w:color="FFFFFF"/>
              <w:bottom w:val="single" w:sz="8" w:space="0" w:color="FFFFFF"/>
              <w:right w:val="single" w:sz="8" w:space="0" w:color="FFFFFF"/>
            </w:tcBorders>
            <w:shd w:val="clear" w:color="auto" w:fill="B4C6E7"/>
          </w:tcPr>
          <w:p w14:paraId="56AE3BC2" w14:textId="77777777" w:rsidR="00881C29" w:rsidRPr="008E7C24" w:rsidRDefault="00881C29" w:rsidP="00540F17">
            <w:pPr>
              <w:jc w:val="center"/>
              <w:rPr>
                <w:rFonts w:cs="Arial"/>
              </w:rPr>
            </w:pPr>
            <w:r>
              <w:rPr>
                <w:rFonts w:cs="Arial"/>
              </w:rPr>
              <w:t>Single - $3,850</w:t>
            </w:r>
          </w:p>
        </w:tc>
      </w:tr>
      <w:tr w:rsidR="00881C29" w:rsidRPr="00B0638B" w14:paraId="3F19AA56" w14:textId="77777777" w:rsidTr="007B2299">
        <w:tc>
          <w:tcPr>
            <w:tcW w:w="1494" w:type="dxa"/>
            <w:tcBorders>
              <w:top w:val="single" w:sz="8" w:space="0" w:color="FFFFFF"/>
              <w:left w:val="single" w:sz="8" w:space="0" w:color="FFFFFF"/>
              <w:bottom w:val="single" w:sz="8" w:space="0" w:color="FFFFFF"/>
              <w:right w:val="single" w:sz="8" w:space="0" w:color="FFFFFF"/>
            </w:tcBorders>
            <w:shd w:val="clear" w:color="auto" w:fill="DEEAF6"/>
          </w:tcPr>
          <w:p w14:paraId="6A380741" w14:textId="77777777" w:rsidR="00881C29" w:rsidRPr="00B0638B" w:rsidRDefault="00881C29" w:rsidP="00540F17"/>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027B4A2B" w14:textId="77777777" w:rsidR="00881C29" w:rsidRPr="008E7C24" w:rsidRDefault="00881C29" w:rsidP="00540F17">
            <w:pPr>
              <w:jc w:val="center"/>
              <w:rPr>
                <w:rFonts w:cs="Arial"/>
              </w:rPr>
            </w:pPr>
            <w:r>
              <w:rPr>
                <w:rFonts w:cs="Arial"/>
              </w:rPr>
              <w:t>Family - $3,000</w:t>
            </w:r>
          </w:p>
        </w:tc>
        <w:tc>
          <w:tcPr>
            <w:tcW w:w="2430" w:type="dxa"/>
            <w:tcBorders>
              <w:top w:val="single" w:sz="8" w:space="0" w:color="FFFFFF"/>
              <w:left w:val="single" w:sz="8" w:space="0" w:color="FFFFFF"/>
              <w:bottom w:val="single" w:sz="8" w:space="0" w:color="FFFFFF"/>
              <w:right w:val="single" w:sz="8" w:space="0" w:color="FFFFFF"/>
            </w:tcBorders>
            <w:shd w:val="clear" w:color="auto" w:fill="DEEAF6"/>
            <w:tcMar>
              <w:top w:w="58" w:type="dxa"/>
              <w:left w:w="144" w:type="dxa"/>
              <w:bottom w:w="0" w:type="dxa"/>
              <w:right w:w="144" w:type="dxa"/>
            </w:tcMar>
            <w:vAlign w:val="center"/>
          </w:tcPr>
          <w:p w14:paraId="4ED90945" w14:textId="77777777" w:rsidR="00881C29" w:rsidRPr="008E7C24" w:rsidRDefault="00881C29" w:rsidP="00540F17">
            <w:pPr>
              <w:jc w:val="center"/>
              <w:rPr>
                <w:rFonts w:cs="Arial"/>
              </w:rPr>
            </w:pPr>
            <w:r>
              <w:rPr>
                <w:rFonts w:cs="Arial"/>
              </w:rPr>
              <w:t>Family - $15,000</w:t>
            </w:r>
          </w:p>
        </w:tc>
        <w:tc>
          <w:tcPr>
            <w:tcW w:w="2340" w:type="dxa"/>
            <w:tcBorders>
              <w:top w:val="single" w:sz="8" w:space="0" w:color="FFFFFF"/>
              <w:left w:val="single" w:sz="8" w:space="0" w:color="FFFFFF"/>
              <w:bottom w:val="single" w:sz="8" w:space="0" w:color="FFFFFF"/>
              <w:right w:val="single" w:sz="8" w:space="0" w:color="FFFFFF"/>
            </w:tcBorders>
            <w:shd w:val="clear" w:color="auto" w:fill="DEEAF6"/>
          </w:tcPr>
          <w:p w14:paraId="77457801" w14:textId="77777777" w:rsidR="00881C29" w:rsidRPr="008E7C24" w:rsidRDefault="00881C29" w:rsidP="00540F17">
            <w:pPr>
              <w:jc w:val="center"/>
              <w:rPr>
                <w:rFonts w:cs="Arial"/>
              </w:rPr>
            </w:pPr>
            <w:r>
              <w:rPr>
                <w:rFonts w:cs="Arial"/>
              </w:rPr>
              <w:t>Family - $7,750</w:t>
            </w:r>
          </w:p>
        </w:tc>
      </w:tr>
    </w:tbl>
    <w:p w14:paraId="56A87557" w14:textId="77777777" w:rsidR="0079307B" w:rsidRPr="0079307B" w:rsidRDefault="0079307B" w:rsidP="0079307B">
      <w:pPr>
        <w:pStyle w:val="BodyText"/>
      </w:pPr>
    </w:p>
    <w:p w14:paraId="17AA6B1E" w14:textId="77777777" w:rsidR="0077197A" w:rsidRPr="0077197A" w:rsidRDefault="0077197A" w:rsidP="000E4A50">
      <w:pPr>
        <w:pStyle w:val="Heading1"/>
      </w:pPr>
      <w:bookmarkStart w:id="16" w:name="_Toc510627680"/>
      <w:r w:rsidRPr="0077197A">
        <w:t>Ap</w:t>
      </w:r>
      <w:bookmarkStart w:id="17" w:name="AppendixB"/>
      <w:bookmarkEnd w:id="17"/>
      <w:r w:rsidRPr="0077197A">
        <w:t xml:space="preserve">pendix </w:t>
      </w:r>
      <w:r w:rsidR="00261BF6">
        <w:t>B</w:t>
      </w:r>
      <w:r>
        <w:t xml:space="preserve"> – </w:t>
      </w:r>
      <w:r w:rsidR="00B22913">
        <w:t>Contributi</w:t>
      </w:r>
      <w:r w:rsidR="00E34BB9">
        <w:t>o</w:t>
      </w:r>
      <w:r w:rsidR="00B22913">
        <w:t>n Limit</w:t>
      </w:r>
      <w:r>
        <w:t xml:space="preserve"> Examples</w:t>
      </w:r>
      <w:bookmarkEnd w:id="16"/>
    </w:p>
    <w:p w14:paraId="7FDC0F93" w14:textId="77777777" w:rsidR="0077197A" w:rsidRDefault="0077197A" w:rsidP="0077197A"/>
    <w:p w14:paraId="384E64A7" w14:textId="77777777" w:rsidR="00B22913" w:rsidRPr="00360EC0" w:rsidRDefault="00B22913" w:rsidP="00676C04">
      <w:pPr>
        <w:numPr>
          <w:ilvl w:val="0"/>
          <w:numId w:val="7"/>
        </w:numPr>
        <w:spacing w:after="160" w:line="259" w:lineRule="auto"/>
        <w:rPr>
          <w:i/>
        </w:rPr>
      </w:pPr>
      <w:r w:rsidRPr="00360EC0">
        <w:rPr>
          <w:i/>
        </w:rPr>
        <w:t xml:space="preserve">Example 1 – </w:t>
      </w:r>
      <w:r w:rsidR="004E3199">
        <w:rPr>
          <w:i/>
        </w:rPr>
        <w:t>I</w:t>
      </w:r>
      <w:r w:rsidRPr="00360EC0">
        <w:rPr>
          <w:i/>
        </w:rPr>
        <w:t>ndividual</w:t>
      </w:r>
      <w:r w:rsidR="00B40854">
        <w:rPr>
          <w:i/>
        </w:rPr>
        <w:t xml:space="preserve"> under age 55</w:t>
      </w:r>
      <w:r w:rsidRPr="00360EC0">
        <w:rPr>
          <w:i/>
        </w:rPr>
        <w:t xml:space="preserve"> enrolled in s</w:t>
      </w:r>
      <w:r>
        <w:rPr>
          <w:i/>
        </w:rPr>
        <w:t>elf-only HDHP for May–Dec 20</w:t>
      </w:r>
      <w:r w:rsidR="00322CC8">
        <w:rPr>
          <w:i/>
        </w:rPr>
        <w:t>2</w:t>
      </w:r>
      <w:r w:rsidR="008007A5">
        <w:rPr>
          <w:i/>
        </w:rPr>
        <w:t>3</w:t>
      </w:r>
      <w:r w:rsidRPr="00360EC0">
        <w:rPr>
          <w:i/>
        </w:rPr>
        <w:t xml:space="preserve"> with no other disqualifying coverage</w:t>
      </w:r>
      <w:r w:rsidR="00B40854">
        <w:rPr>
          <w:i/>
        </w:rPr>
        <w:t>.</w:t>
      </w:r>
      <w:r w:rsidR="004E3199">
        <w:rPr>
          <w:i/>
        </w:rPr>
        <w:t xml:space="preserve"> </w:t>
      </w:r>
    </w:p>
    <w:p w14:paraId="32782406" w14:textId="77777777" w:rsidR="00B22913" w:rsidRDefault="00B22913" w:rsidP="00676C04">
      <w:pPr>
        <w:numPr>
          <w:ilvl w:val="1"/>
          <w:numId w:val="7"/>
        </w:numPr>
        <w:spacing w:after="160" w:line="259" w:lineRule="auto"/>
      </w:pPr>
      <w:r w:rsidRPr="00194647">
        <w:t xml:space="preserve">Individual may </w:t>
      </w:r>
      <w:r>
        <w:t>contribute $2</w:t>
      </w:r>
      <w:r w:rsidR="008007A5">
        <w:t>,566.67</w:t>
      </w:r>
      <w:r>
        <w:t xml:space="preserve"> during 20</w:t>
      </w:r>
      <w:r w:rsidR="00322CC8">
        <w:t>2</w:t>
      </w:r>
      <w:r w:rsidR="004251FC">
        <w:t>3</w:t>
      </w:r>
      <w:r w:rsidRPr="00194647">
        <w:t xml:space="preserve"> (8/12 of $3,</w:t>
      </w:r>
      <w:r w:rsidR="008007A5">
        <w:t>8</w:t>
      </w:r>
      <w:r w:rsidR="00540F17">
        <w:t>5</w:t>
      </w:r>
      <w:r w:rsidR="00B40854">
        <w:t>0</w:t>
      </w:r>
      <w:r w:rsidRPr="00194647">
        <w:t>)</w:t>
      </w:r>
      <w:r w:rsidR="007B0259">
        <w:t>.</w:t>
      </w:r>
    </w:p>
    <w:p w14:paraId="460ACD5A" w14:textId="203739EF" w:rsidR="004E3199" w:rsidRDefault="004E3199" w:rsidP="004E3199">
      <w:pPr>
        <w:numPr>
          <w:ilvl w:val="1"/>
          <w:numId w:val="7"/>
        </w:numPr>
        <w:spacing w:after="160" w:line="259" w:lineRule="auto"/>
      </w:pPr>
      <w:r w:rsidRPr="00194647">
        <w:t>Under the full-contribution rule, so long as the individual r</w:t>
      </w:r>
      <w:r>
        <w:t>emains enrolled through Dec 20</w:t>
      </w:r>
      <w:r w:rsidR="008478A4">
        <w:t>2</w:t>
      </w:r>
      <w:r w:rsidR="008007A5">
        <w:t>4</w:t>
      </w:r>
      <w:r w:rsidRPr="00194647">
        <w:t>, the individual may con</w:t>
      </w:r>
      <w:r>
        <w:t>tribute $3,</w:t>
      </w:r>
      <w:r w:rsidR="007A6D4F">
        <w:t>8</w:t>
      </w:r>
      <w:r w:rsidR="009073C8">
        <w:t>5</w:t>
      </w:r>
      <w:r>
        <w:t>0 during 20</w:t>
      </w:r>
      <w:r w:rsidR="00322CC8">
        <w:t>2</w:t>
      </w:r>
      <w:r w:rsidR="008007A5">
        <w:t>3</w:t>
      </w:r>
      <w:r w:rsidR="007B0259">
        <w:t>.</w:t>
      </w:r>
      <w:r>
        <w:t xml:space="preserve"> </w:t>
      </w:r>
    </w:p>
    <w:p w14:paraId="2774C100" w14:textId="77777777" w:rsidR="004E3199" w:rsidRPr="00194647" w:rsidRDefault="004E3199" w:rsidP="004E3199">
      <w:pPr>
        <w:spacing w:after="160" w:line="259" w:lineRule="auto"/>
        <w:ind w:left="1080"/>
      </w:pPr>
      <w:r w:rsidRPr="00194647">
        <w:t xml:space="preserve"> </w:t>
      </w:r>
    </w:p>
    <w:p w14:paraId="451CE588" w14:textId="77777777" w:rsidR="00B22913" w:rsidRPr="00360EC0" w:rsidRDefault="00B22913" w:rsidP="00676C04">
      <w:pPr>
        <w:numPr>
          <w:ilvl w:val="0"/>
          <w:numId w:val="7"/>
        </w:numPr>
        <w:spacing w:after="160" w:line="259" w:lineRule="auto"/>
        <w:rPr>
          <w:i/>
        </w:rPr>
      </w:pPr>
      <w:r w:rsidRPr="00360EC0">
        <w:rPr>
          <w:i/>
        </w:rPr>
        <w:t>Example 2 – 58-year</w:t>
      </w:r>
      <w:r w:rsidR="007B0259">
        <w:rPr>
          <w:i/>
        </w:rPr>
        <w:t>-</w:t>
      </w:r>
      <w:r w:rsidRPr="00360EC0">
        <w:rPr>
          <w:i/>
        </w:rPr>
        <w:t>old individual enrolled in self-o</w:t>
      </w:r>
      <w:r>
        <w:rPr>
          <w:i/>
        </w:rPr>
        <w:t>nly HDHP for May–Dec 20</w:t>
      </w:r>
      <w:r w:rsidR="006B10BE">
        <w:rPr>
          <w:i/>
        </w:rPr>
        <w:t>2</w:t>
      </w:r>
      <w:r w:rsidR="008007A5">
        <w:rPr>
          <w:i/>
        </w:rPr>
        <w:t>3</w:t>
      </w:r>
      <w:r w:rsidRPr="00360EC0">
        <w:rPr>
          <w:i/>
        </w:rPr>
        <w:t xml:space="preserve"> with no other disqualifying coverage</w:t>
      </w:r>
      <w:r w:rsidR="00B40854">
        <w:rPr>
          <w:i/>
        </w:rPr>
        <w:t>.</w:t>
      </w:r>
    </w:p>
    <w:p w14:paraId="009E65A8" w14:textId="77777777" w:rsidR="004E3199" w:rsidRDefault="00B22913" w:rsidP="004E3199">
      <w:pPr>
        <w:numPr>
          <w:ilvl w:val="1"/>
          <w:numId w:val="7"/>
        </w:numPr>
        <w:spacing w:after="160" w:line="259" w:lineRule="auto"/>
      </w:pPr>
      <w:r w:rsidRPr="00194647">
        <w:t>Individual m</w:t>
      </w:r>
      <w:r>
        <w:t>ay contribute $</w:t>
      </w:r>
      <w:r w:rsidR="00A57316">
        <w:t>3,</w:t>
      </w:r>
      <w:r w:rsidR="008007A5">
        <w:t>566.67</w:t>
      </w:r>
      <w:r>
        <w:t xml:space="preserve"> during 20</w:t>
      </w:r>
      <w:r w:rsidR="006B10BE">
        <w:t>2</w:t>
      </w:r>
      <w:r w:rsidR="008007A5">
        <w:t>3</w:t>
      </w:r>
      <w:r>
        <w:t xml:space="preserve"> (8/12 of $3,</w:t>
      </w:r>
      <w:r w:rsidR="008007A5">
        <w:t>8</w:t>
      </w:r>
      <w:r w:rsidR="009073C8">
        <w:t>5</w:t>
      </w:r>
      <w:r w:rsidRPr="00194647">
        <w:t>0 + $1,000)</w:t>
      </w:r>
      <w:r w:rsidR="007B0259">
        <w:t>.</w:t>
      </w:r>
    </w:p>
    <w:p w14:paraId="57AE89F0" w14:textId="77777777" w:rsidR="004E3199" w:rsidRDefault="004E3199" w:rsidP="004E3199">
      <w:pPr>
        <w:numPr>
          <w:ilvl w:val="1"/>
          <w:numId w:val="7"/>
        </w:numPr>
        <w:spacing w:after="160" w:line="259" w:lineRule="auto"/>
      </w:pPr>
      <w:r w:rsidRPr="00194647">
        <w:t>Under the full-contribution rule, so long as the individual r</w:t>
      </w:r>
      <w:r>
        <w:t>emains enrolled through Dec 20</w:t>
      </w:r>
      <w:r w:rsidR="006B10BE">
        <w:t>2</w:t>
      </w:r>
      <w:r w:rsidR="008007A5">
        <w:t>4</w:t>
      </w:r>
      <w:r w:rsidRPr="00194647">
        <w:t>, the individual may con</w:t>
      </w:r>
      <w:r>
        <w:t>tribute $4,</w:t>
      </w:r>
      <w:r w:rsidR="008007A5">
        <w:t>8</w:t>
      </w:r>
      <w:r w:rsidR="009073C8">
        <w:t>5</w:t>
      </w:r>
      <w:r>
        <w:t>0 during 20</w:t>
      </w:r>
      <w:r w:rsidR="006B10BE">
        <w:t>2</w:t>
      </w:r>
      <w:r w:rsidR="004251FC">
        <w:t>3</w:t>
      </w:r>
      <w:r>
        <w:t xml:space="preserve"> ($3,</w:t>
      </w:r>
      <w:r w:rsidR="008007A5">
        <w:t>8</w:t>
      </w:r>
      <w:r w:rsidR="009073C8">
        <w:t>5</w:t>
      </w:r>
      <w:r w:rsidRPr="00194647">
        <w:t>0 + $1,000)</w:t>
      </w:r>
      <w:r w:rsidR="007B0259">
        <w:t>.</w:t>
      </w:r>
    </w:p>
    <w:p w14:paraId="5DEEA6F6" w14:textId="77777777" w:rsidR="004E3199" w:rsidRPr="00194647" w:rsidRDefault="004E3199" w:rsidP="004E3199">
      <w:pPr>
        <w:spacing w:after="160" w:line="259" w:lineRule="auto"/>
        <w:ind w:left="1440"/>
      </w:pPr>
    </w:p>
    <w:p w14:paraId="27880A74" w14:textId="77777777" w:rsidR="00B22913" w:rsidRPr="00360EC0" w:rsidRDefault="00B22913" w:rsidP="00676C04">
      <w:pPr>
        <w:numPr>
          <w:ilvl w:val="0"/>
          <w:numId w:val="7"/>
        </w:numPr>
        <w:spacing w:after="160" w:line="259" w:lineRule="auto"/>
        <w:rPr>
          <w:i/>
        </w:rPr>
      </w:pPr>
      <w:r w:rsidRPr="00360EC0">
        <w:rPr>
          <w:i/>
        </w:rPr>
        <w:t xml:space="preserve">Example 3 – Individual </w:t>
      </w:r>
      <w:r w:rsidR="00B40854">
        <w:rPr>
          <w:i/>
        </w:rPr>
        <w:t xml:space="preserve">under age 55 </w:t>
      </w:r>
      <w:r w:rsidRPr="00360EC0">
        <w:rPr>
          <w:i/>
        </w:rPr>
        <w:t>enrolled in f</w:t>
      </w:r>
      <w:r>
        <w:rPr>
          <w:i/>
        </w:rPr>
        <w:t>amily HDHP for Jan–May of 20</w:t>
      </w:r>
      <w:r w:rsidR="006B10BE">
        <w:rPr>
          <w:i/>
        </w:rPr>
        <w:t>2</w:t>
      </w:r>
      <w:r w:rsidR="008007A5">
        <w:rPr>
          <w:i/>
        </w:rPr>
        <w:t>3</w:t>
      </w:r>
      <w:r w:rsidRPr="00360EC0">
        <w:rPr>
          <w:i/>
        </w:rPr>
        <w:t xml:space="preserve"> with no other disqualifying coverage</w:t>
      </w:r>
      <w:r w:rsidR="00B40854">
        <w:rPr>
          <w:i/>
        </w:rPr>
        <w:t>.</w:t>
      </w:r>
      <w:r w:rsidR="004E3199">
        <w:rPr>
          <w:i/>
        </w:rPr>
        <w:t xml:space="preserve"> </w:t>
      </w:r>
    </w:p>
    <w:p w14:paraId="2905CAE0" w14:textId="77777777" w:rsidR="00B22913" w:rsidRDefault="00B22913" w:rsidP="00676C04">
      <w:pPr>
        <w:numPr>
          <w:ilvl w:val="1"/>
          <w:numId w:val="7"/>
        </w:numPr>
        <w:spacing w:after="160" w:line="259" w:lineRule="auto"/>
      </w:pPr>
      <w:r w:rsidRPr="00194647">
        <w:t xml:space="preserve">Individual may </w:t>
      </w:r>
      <w:r>
        <w:t>contribute $</w:t>
      </w:r>
      <w:r w:rsidR="00B40854">
        <w:t>3,</w:t>
      </w:r>
      <w:r w:rsidR="008007A5">
        <w:t>229.17</w:t>
      </w:r>
      <w:r>
        <w:t xml:space="preserve"> during 20</w:t>
      </w:r>
      <w:r w:rsidR="006B10BE">
        <w:t>2</w:t>
      </w:r>
      <w:r w:rsidR="008007A5">
        <w:t>3</w:t>
      </w:r>
      <w:r w:rsidRPr="00194647">
        <w:t xml:space="preserve"> (5/12 of $</w:t>
      </w:r>
      <w:r w:rsidR="00F567D8">
        <w:t>7,</w:t>
      </w:r>
      <w:r w:rsidR="008007A5">
        <w:t>75</w:t>
      </w:r>
      <w:r w:rsidRPr="00194647">
        <w:t>0)</w:t>
      </w:r>
      <w:r w:rsidR="007B0259">
        <w:t>.</w:t>
      </w:r>
    </w:p>
    <w:p w14:paraId="5E44B8D5" w14:textId="77777777" w:rsidR="004E3199" w:rsidRPr="00194647" w:rsidRDefault="004E3199" w:rsidP="004E3199">
      <w:pPr>
        <w:spacing w:after="160" w:line="259" w:lineRule="auto"/>
        <w:ind w:left="1440"/>
      </w:pPr>
    </w:p>
    <w:p w14:paraId="0D73ABD5" w14:textId="77777777" w:rsidR="00B22913" w:rsidRPr="00360EC0" w:rsidRDefault="00B22913" w:rsidP="00676C04">
      <w:pPr>
        <w:numPr>
          <w:ilvl w:val="0"/>
          <w:numId w:val="7"/>
        </w:numPr>
        <w:spacing w:after="160" w:line="259" w:lineRule="auto"/>
        <w:rPr>
          <w:i/>
        </w:rPr>
      </w:pPr>
      <w:r w:rsidRPr="00360EC0">
        <w:rPr>
          <w:i/>
        </w:rPr>
        <w:t xml:space="preserve">Example 4 – Husband is enrolled in self-only </w:t>
      </w:r>
      <w:r>
        <w:rPr>
          <w:i/>
        </w:rPr>
        <w:t>HDHP coverage during all of 20</w:t>
      </w:r>
      <w:r w:rsidR="006B10BE">
        <w:rPr>
          <w:i/>
        </w:rPr>
        <w:t>2</w:t>
      </w:r>
      <w:r w:rsidR="008007A5">
        <w:rPr>
          <w:i/>
        </w:rPr>
        <w:t>3</w:t>
      </w:r>
      <w:r w:rsidR="004E3199">
        <w:rPr>
          <w:i/>
        </w:rPr>
        <w:t>,</w:t>
      </w:r>
      <w:r w:rsidRPr="00360EC0">
        <w:rPr>
          <w:i/>
        </w:rPr>
        <w:t xml:space="preserve"> and wife is also enrolled in self-only </w:t>
      </w:r>
      <w:r>
        <w:rPr>
          <w:i/>
        </w:rPr>
        <w:t>HDHP coverage during all of 20</w:t>
      </w:r>
      <w:r w:rsidR="006B10BE">
        <w:rPr>
          <w:i/>
        </w:rPr>
        <w:t>2</w:t>
      </w:r>
      <w:r w:rsidR="008007A5">
        <w:rPr>
          <w:i/>
        </w:rPr>
        <w:t>3</w:t>
      </w:r>
      <w:r w:rsidR="004E3199">
        <w:rPr>
          <w:i/>
        </w:rPr>
        <w:t xml:space="preserve"> (neither </w:t>
      </w:r>
      <w:r w:rsidR="007B0259">
        <w:rPr>
          <w:i/>
        </w:rPr>
        <w:t>is</w:t>
      </w:r>
      <w:r w:rsidR="004E3199">
        <w:rPr>
          <w:i/>
        </w:rPr>
        <w:t xml:space="preserve"> 55 or older)</w:t>
      </w:r>
      <w:r w:rsidR="00B40854">
        <w:rPr>
          <w:i/>
        </w:rPr>
        <w:t>.</w:t>
      </w:r>
    </w:p>
    <w:p w14:paraId="2993C5CC" w14:textId="77777777" w:rsidR="00B22913" w:rsidRDefault="00B22913" w:rsidP="00676C04">
      <w:pPr>
        <w:numPr>
          <w:ilvl w:val="1"/>
          <w:numId w:val="7"/>
        </w:numPr>
        <w:spacing w:after="160" w:line="259" w:lineRule="auto"/>
      </w:pPr>
      <w:r w:rsidRPr="00194647">
        <w:t>Each spouse may contribute up to $3,</w:t>
      </w:r>
      <w:r w:rsidR="008007A5">
        <w:t>8</w:t>
      </w:r>
      <w:r w:rsidR="009073C8">
        <w:t>5</w:t>
      </w:r>
      <w:r>
        <w:t>0 during 20</w:t>
      </w:r>
      <w:r w:rsidR="006B10BE">
        <w:t>2</w:t>
      </w:r>
      <w:r w:rsidR="004251FC">
        <w:t>3</w:t>
      </w:r>
      <w:r w:rsidR="007B0259">
        <w:t>.</w:t>
      </w:r>
    </w:p>
    <w:p w14:paraId="2517FE86" w14:textId="77777777" w:rsidR="004E3199" w:rsidRPr="00194647" w:rsidRDefault="004E3199" w:rsidP="004E3199">
      <w:pPr>
        <w:spacing w:after="160" w:line="259" w:lineRule="auto"/>
        <w:ind w:left="1440"/>
      </w:pPr>
    </w:p>
    <w:p w14:paraId="248C253C" w14:textId="77777777" w:rsidR="00B22913" w:rsidRPr="00360EC0" w:rsidRDefault="00B22913" w:rsidP="00676C04">
      <w:pPr>
        <w:numPr>
          <w:ilvl w:val="0"/>
          <w:numId w:val="7"/>
        </w:numPr>
        <w:spacing w:after="160" w:line="259" w:lineRule="auto"/>
        <w:rPr>
          <w:i/>
        </w:rPr>
      </w:pPr>
      <w:r w:rsidRPr="00360EC0">
        <w:rPr>
          <w:i/>
        </w:rPr>
        <w:t xml:space="preserve">Example 5 – Husband is enrolled in self-only </w:t>
      </w:r>
      <w:r>
        <w:rPr>
          <w:i/>
        </w:rPr>
        <w:t>HDHP coverage during all of 20</w:t>
      </w:r>
      <w:r w:rsidR="006B10BE">
        <w:rPr>
          <w:i/>
        </w:rPr>
        <w:t>2</w:t>
      </w:r>
      <w:r w:rsidR="008007A5">
        <w:rPr>
          <w:i/>
        </w:rPr>
        <w:t>3</w:t>
      </w:r>
      <w:r w:rsidR="004E3199">
        <w:rPr>
          <w:i/>
        </w:rPr>
        <w:t>,</w:t>
      </w:r>
      <w:r w:rsidRPr="00360EC0">
        <w:rPr>
          <w:i/>
        </w:rPr>
        <w:t xml:space="preserve"> and wife is enrolled in family </w:t>
      </w:r>
      <w:r>
        <w:rPr>
          <w:i/>
        </w:rPr>
        <w:t>HDHP coverage during all of 20</w:t>
      </w:r>
      <w:r w:rsidR="006B10BE">
        <w:rPr>
          <w:i/>
        </w:rPr>
        <w:t>2</w:t>
      </w:r>
      <w:r w:rsidR="008007A5">
        <w:rPr>
          <w:i/>
        </w:rPr>
        <w:t>3</w:t>
      </w:r>
      <w:r w:rsidR="004E3199">
        <w:rPr>
          <w:i/>
        </w:rPr>
        <w:t xml:space="preserve"> (neither </w:t>
      </w:r>
      <w:r w:rsidR="007B0259">
        <w:rPr>
          <w:i/>
        </w:rPr>
        <w:t>is</w:t>
      </w:r>
      <w:r w:rsidR="004E3199">
        <w:rPr>
          <w:i/>
        </w:rPr>
        <w:t xml:space="preserve"> 55 or older)</w:t>
      </w:r>
      <w:r w:rsidR="00B40854">
        <w:rPr>
          <w:i/>
        </w:rPr>
        <w:t>.</w:t>
      </w:r>
    </w:p>
    <w:p w14:paraId="2F7D3E5F" w14:textId="77777777" w:rsidR="00B22913" w:rsidRDefault="00B22913" w:rsidP="00676C04">
      <w:pPr>
        <w:numPr>
          <w:ilvl w:val="1"/>
          <w:numId w:val="7"/>
        </w:numPr>
        <w:spacing w:after="160" w:line="259" w:lineRule="auto"/>
      </w:pPr>
      <w:r w:rsidRPr="00194647">
        <w:t>Maximum contribution between t</w:t>
      </w:r>
      <w:r>
        <w:t>he spouses is $</w:t>
      </w:r>
      <w:r w:rsidR="006B10BE">
        <w:t>7,</w:t>
      </w:r>
      <w:r w:rsidR="008007A5">
        <w:t>75</w:t>
      </w:r>
      <w:r>
        <w:t>0 during 20</w:t>
      </w:r>
      <w:r w:rsidR="006B10BE">
        <w:t>2</w:t>
      </w:r>
      <w:r w:rsidR="008007A5">
        <w:t>3</w:t>
      </w:r>
      <w:r w:rsidR="007B0259">
        <w:t>.</w:t>
      </w:r>
    </w:p>
    <w:p w14:paraId="72CE989A" w14:textId="77777777" w:rsidR="00430C9F" w:rsidRPr="00430C9F" w:rsidRDefault="00E10421" w:rsidP="00E10421">
      <w:pPr>
        <w:pStyle w:val="Heading1"/>
      </w:pPr>
      <w:bookmarkStart w:id="18" w:name="AppendixC"/>
      <w:bookmarkStart w:id="19" w:name="_Toc510627681"/>
      <w:bookmarkEnd w:id="18"/>
      <w:r>
        <w:t xml:space="preserve">Appendix </w:t>
      </w:r>
      <w:r w:rsidR="00261BF6">
        <w:t>C</w:t>
      </w:r>
      <w:r>
        <w:t xml:space="preserve"> – Special Rule for Married Individuals</w:t>
      </w:r>
      <w:bookmarkEnd w:id="19"/>
    </w:p>
    <w:p w14:paraId="7AC140D5" w14:textId="77777777" w:rsidR="00430C9F" w:rsidRPr="00430C9F" w:rsidRDefault="00430C9F" w:rsidP="00430C9F"/>
    <w:p w14:paraId="62E11301" w14:textId="7E934055" w:rsidR="00430C9F" w:rsidRDefault="004266E4" w:rsidP="00430C9F">
      <w:r w:rsidRPr="00152D35">
        <w:rPr>
          <w:noProof/>
        </w:rPr>
        <w:drawing>
          <wp:inline distT="0" distB="0" distL="0" distR="0" wp14:anchorId="4C6EB7B4" wp14:editId="0D11CA86">
            <wp:extent cx="68580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581400"/>
                    </a:xfrm>
                    <a:prstGeom prst="rect">
                      <a:avLst/>
                    </a:prstGeom>
                    <a:noFill/>
                    <a:ln>
                      <a:noFill/>
                    </a:ln>
                  </pic:spPr>
                </pic:pic>
              </a:graphicData>
            </a:graphic>
          </wp:inline>
        </w:drawing>
      </w:r>
    </w:p>
    <w:p w14:paraId="6FA2EF4B" w14:textId="77777777" w:rsidR="00430C9F" w:rsidRDefault="00430C9F" w:rsidP="00430C9F"/>
    <w:p w14:paraId="58C2F998" w14:textId="77777777" w:rsidR="00430C9F" w:rsidRPr="00430C9F" w:rsidRDefault="00430C9F" w:rsidP="00430C9F"/>
    <w:p w14:paraId="4AEE250B" w14:textId="77777777" w:rsidR="00430C9F" w:rsidRDefault="00430C9F" w:rsidP="00430C9F">
      <w:pPr>
        <w:rPr>
          <w:noProof/>
        </w:rPr>
      </w:pPr>
    </w:p>
    <w:p w14:paraId="2D0FF542" w14:textId="77777777" w:rsidR="006A785D" w:rsidRDefault="006A785D" w:rsidP="00430C9F">
      <w:pPr>
        <w:rPr>
          <w:noProof/>
        </w:rPr>
      </w:pPr>
    </w:p>
    <w:p w14:paraId="5840ABC8" w14:textId="77777777" w:rsidR="00430C9F" w:rsidRDefault="00430C9F" w:rsidP="00430C9F">
      <w:pPr>
        <w:rPr>
          <w:noProof/>
        </w:rPr>
      </w:pPr>
    </w:p>
    <w:p w14:paraId="440B0A72" w14:textId="77777777" w:rsidR="00430C9F" w:rsidRDefault="00430C9F" w:rsidP="00430C9F">
      <w:pPr>
        <w:rPr>
          <w:noProof/>
        </w:rPr>
      </w:pPr>
    </w:p>
    <w:p w14:paraId="769C9BBD" w14:textId="77777777" w:rsidR="00430C9F" w:rsidRDefault="00430C9F" w:rsidP="00430C9F">
      <w:pPr>
        <w:rPr>
          <w:noProof/>
        </w:rPr>
      </w:pPr>
    </w:p>
    <w:p w14:paraId="710FAA2D" w14:textId="77777777" w:rsidR="00430C9F" w:rsidRDefault="00430C9F" w:rsidP="00430C9F">
      <w:pPr>
        <w:rPr>
          <w:noProof/>
        </w:rPr>
      </w:pPr>
    </w:p>
    <w:p w14:paraId="01007EC1" w14:textId="77777777" w:rsidR="00C37200" w:rsidRDefault="00C37200" w:rsidP="00430C9F">
      <w:pPr>
        <w:rPr>
          <w:noProof/>
        </w:rPr>
      </w:pPr>
    </w:p>
    <w:p w14:paraId="0B0B7614" w14:textId="77777777" w:rsidR="00430C9F" w:rsidRDefault="00430C9F" w:rsidP="00430C9F">
      <w:pPr>
        <w:rPr>
          <w:noProof/>
        </w:rPr>
      </w:pPr>
    </w:p>
    <w:p w14:paraId="51BD8713" w14:textId="77777777" w:rsidR="00430C9F" w:rsidRDefault="00430C9F" w:rsidP="00430C9F">
      <w:pPr>
        <w:rPr>
          <w:noProof/>
        </w:rPr>
      </w:pPr>
    </w:p>
    <w:p w14:paraId="6EF3D6E1" w14:textId="77777777" w:rsidR="00430C9F" w:rsidRDefault="00430C9F" w:rsidP="00430C9F">
      <w:pPr>
        <w:rPr>
          <w:noProof/>
        </w:rPr>
      </w:pPr>
    </w:p>
    <w:p w14:paraId="1B875859" w14:textId="77777777" w:rsidR="00430C9F" w:rsidRDefault="00430C9F" w:rsidP="00430C9F">
      <w:pPr>
        <w:rPr>
          <w:noProof/>
        </w:rPr>
      </w:pPr>
    </w:p>
    <w:p w14:paraId="3255034F" w14:textId="77777777" w:rsidR="00430C9F" w:rsidRDefault="00430C9F" w:rsidP="00430C9F">
      <w:pPr>
        <w:rPr>
          <w:noProof/>
        </w:rPr>
      </w:pPr>
    </w:p>
    <w:p w14:paraId="026CB14A" w14:textId="77777777" w:rsidR="006D16F1" w:rsidRDefault="00E64719" w:rsidP="00261BF6">
      <w:pPr>
        <w:pStyle w:val="Heading1"/>
        <w:rPr>
          <w:noProof/>
        </w:rPr>
      </w:pPr>
      <w:bookmarkStart w:id="20" w:name="AppendixD"/>
      <w:bookmarkStart w:id="21" w:name="_Toc510627682"/>
      <w:bookmarkEnd w:id="20"/>
      <w:r>
        <w:rPr>
          <w:noProof/>
        </w:rPr>
        <w:t xml:space="preserve">Appendix D: </w:t>
      </w:r>
      <w:r w:rsidR="006D16F1">
        <w:rPr>
          <w:noProof/>
        </w:rPr>
        <w:t>Comparison of HRAs, Health FSAs</w:t>
      </w:r>
      <w:r w:rsidR="007B0259">
        <w:rPr>
          <w:noProof/>
        </w:rPr>
        <w:t>,</w:t>
      </w:r>
      <w:r w:rsidR="006D16F1">
        <w:rPr>
          <w:noProof/>
        </w:rPr>
        <w:t xml:space="preserve"> and HSAs</w:t>
      </w:r>
      <w:bookmarkEnd w:id="21"/>
    </w:p>
    <w:p w14:paraId="1EDA1137" w14:textId="77777777" w:rsidR="006D16F1" w:rsidRDefault="006D16F1" w:rsidP="006D16F1">
      <w:pPr>
        <w:pStyle w:val="BodyText"/>
      </w:pPr>
    </w:p>
    <w:tbl>
      <w:tblPr>
        <w:tblW w:w="10080" w:type="dxa"/>
        <w:tblInd w:w="-10" w:type="dxa"/>
        <w:tblCellMar>
          <w:left w:w="0" w:type="dxa"/>
          <w:right w:w="0" w:type="dxa"/>
        </w:tblCellMar>
        <w:tblLook w:val="0420" w:firstRow="1" w:lastRow="0" w:firstColumn="0" w:lastColumn="0" w:noHBand="0" w:noVBand="1"/>
      </w:tblPr>
      <w:tblGrid>
        <w:gridCol w:w="2303"/>
        <w:gridCol w:w="2416"/>
        <w:gridCol w:w="2571"/>
        <w:gridCol w:w="2790"/>
      </w:tblGrid>
      <w:tr w:rsidR="006D16F1" w:rsidRPr="006D16F1" w14:paraId="16B8C4F9" w14:textId="77777777" w:rsidTr="00E64719">
        <w:trPr>
          <w:trHeight w:val="579"/>
        </w:trPr>
        <w:tc>
          <w:tcPr>
            <w:tcW w:w="2303" w:type="dxa"/>
            <w:tcBorders>
              <w:top w:val="single" w:sz="8" w:space="0" w:color="FFFFFF"/>
              <w:left w:val="single" w:sz="8" w:space="0" w:color="FFFFFF"/>
              <w:bottom w:val="single" w:sz="24" w:space="0" w:color="FFFFFF"/>
              <w:right w:val="single" w:sz="8" w:space="0" w:color="FFFFFF"/>
            </w:tcBorders>
            <w:shd w:val="clear" w:color="auto" w:fill="FEC409"/>
            <w:tcMar>
              <w:top w:w="72" w:type="dxa"/>
              <w:left w:w="144" w:type="dxa"/>
              <w:bottom w:w="72" w:type="dxa"/>
              <w:right w:w="144" w:type="dxa"/>
            </w:tcMar>
            <w:vAlign w:val="center"/>
            <w:hideMark/>
          </w:tcPr>
          <w:p w14:paraId="2ED340B4"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 </w:t>
            </w:r>
          </w:p>
        </w:tc>
        <w:tc>
          <w:tcPr>
            <w:tcW w:w="2416" w:type="dxa"/>
            <w:tcBorders>
              <w:top w:val="single" w:sz="8" w:space="0" w:color="FFFFFF"/>
              <w:left w:val="single" w:sz="8" w:space="0" w:color="FFFFFF"/>
              <w:bottom w:val="single" w:sz="24" w:space="0" w:color="FFFFFF"/>
              <w:right w:val="single" w:sz="8" w:space="0" w:color="FFFFFF"/>
            </w:tcBorders>
            <w:shd w:val="clear" w:color="auto" w:fill="FEC409"/>
            <w:tcMar>
              <w:top w:w="72" w:type="dxa"/>
              <w:left w:w="144" w:type="dxa"/>
              <w:bottom w:w="72" w:type="dxa"/>
              <w:right w:w="144" w:type="dxa"/>
            </w:tcMar>
            <w:vAlign w:val="center"/>
            <w:hideMark/>
          </w:tcPr>
          <w:p w14:paraId="7965FC13"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Health Reimbursement Arrangement (HRA)</w:t>
            </w:r>
          </w:p>
        </w:tc>
        <w:tc>
          <w:tcPr>
            <w:tcW w:w="2571" w:type="dxa"/>
            <w:tcBorders>
              <w:top w:val="single" w:sz="8" w:space="0" w:color="FFFFFF"/>
              <w:left w:val="single" w:sz="8" w:space="0" w:color="FFFFFF"/>
              <w:bottom w:val="single" w:sz="24" w:space="0" w:color="FFFFFF"/>
              <w:right w:val="single" w:sz="8" w:space="0" w:color="FFFFFF"/>
            </w:tcBorders>
            <w:shd w:val="clear" w:color="auto" w:fill="FEC409"/>
          </w:tcPr>
          <w:p w14:paraId="58845811" w14:textId="77777777" w:rsidR="006D16F1" w:rsidRPr="006D16F1" w:rsidRDefault="006D16F1" w:rsidP="006D16F1">
            <w:pPr>
              <w:spacing w:after="160" w:line="259" w:lineRule="auto"/>
              <w:rPr>
                <w:rFonts w:ascii="Calibri" w:eastAsia="Calibri" w:hAnsi="Calibri"/>
                <w:b/>
                <w:bCs/>
                <w:spacing w:val="0"/>
                <w:szCs w:val="22"/>
              </w:rPr>
            </w:pPr>
            <w:r w:rsidRPr="006D16F1">
              <w:rPr>
                <w:rFonts w:ascii="Calibri" w:eastAsia="Calibri" w:hAnsi="Calibri"/>
                <w:b/>
                <w:bCs/>
                <w:spacing w:val="0"/>
                <w:szCs w:val="22"/>
              </w:rPr>
              <w:t xml:space="preserve">Health Flexible Spending </w:t>
            </w:r>
            <w:r w:rsidR="009131B7" w:rsidRPr="006D16F1">
              <w:rPr>
                <w:rFonts w:ascii="Calibri" w:eastAsia="Calibri" w:hAnsi="Calibri"/>
                <w:b/>
                <w:bCs/>
                <w:spacing w:val="0"/>
                <w:szCs w:val="22"/>
              </w:rPr>
              <w:t>A</w:t>
            </w:r>
            <w:r w:rsidR="009131B7">
              <w:rPr>
                <w:rFonts w:ascii="Calibri" w:eastAsia="Calibri" w:hAnsi="Calibri"/>
                <w:b/>
                <w:bCs/>
                <w:spacing w:val="0"/>
                <w:szCs w:val="22"/>
              </w:rPr>
              <w:t>rrangement</w:t>
            </w:r>
            <w:r w:rsidR="009131B7" w:rsidRPr="006D16F1">
              <w:rPr>
                <w:rFonts w:ascii="Calibri" w:eastAsia="Calibri" w:hAnsi="Calibri"/>
                <w:b/>
                <w:bCs/>
                <w:spacing w:val="0"/>
                <w:szCs w:val="22"/>
              </w:rPr>
              <w:t xml:space="preserve"> </w:t>
            </w:r>
            <w:r w:rsidRPr="006D16F1">
              <w:rPr>
                <w:rFonts w:ascii="Calibri" w:eastAsia="Calibri" w:hAnsi="Calibri"/>
                <w:b/>
                <w:bCs/>
                <w:spacing w:val="0"/>
                <w:szCs w:val="22"/>
              </w:rPr>
              <w:t>(FSA)</w:t>
            </w:r>
          </w:p>
        </w:tc>
        <w:tc>
          <w:tcPr>
            <w:tcW w:w="2790" w:type="dxa"/>
            <w:tcBorders>
              <w:top w:val="single" w:sz="8" w:space="0" w:color="FFFFFF"/>
              <w:left w:val="single" w:sz="8" w:space="0" w:color="FFFFFF"/>
              <w:bottom w:val="single" w:sz="24" w:space="0" w:color="FFFFFF"/>
              <w:right w:val="single" w:sz="8" w:space="0" w:color="FFFFFF"/>
            </w:tcBorders>
            <w:shd w:val="clear" w:color="auto" w:fill="FEC409"/>
            <w:tcMar>
              <w:top w:w="72" w:type="dxa"/>
              <w:left w:w="144" w:type="dxa"/>
              <w:bottom w:w="72" w:type="dxa"/>
              <w:right w:w="144" w:type="dxa"/>
            </w:tcMar>
            <w:vAlign w:val="center"/>
            <w:hideMark/>
          </w:tcPr>
          <w:p w14:paraId="6833650E"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Health Savings Account (HSA)</w:t>
            </w:r>
          </w:p>
        </w:tc>
      </w:tr>
      <w:tr w:rsidR="006D16F1" w:rsidRPr="006D16F1" w14:paraId="75EB9E81"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496933BD"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Eligibility</w:t>
            </w:r>
          </w:p>
        </w:tc>
        <w:tc>
          <w:tcPr>
            <w:tcW w:w="2416"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63F2A4BD"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Depends on Employer</w:t>
            </w:r>
          </w:p>
        </w:tc>
        <w:tc>
          <w:tcPr>
            <w:tcW w:w="2571" w:type="dxa"/>
            <w:tcBorders>
              <w:top w:val="single" w:sz="8" w:space="0" w:color="FFFFFF"/>
              <w:left w:val="single" w:sz="8" w:space="0" w:color="FFFFFF"/>
              <w:bottom w:val="single" w:sz="8" w:space="0" w:color="FFFFFF"/>
              <w:right w:val="single" w:sz="8" w:space="0" w:color="FFFFFF"/>
            </w:tcBorders>
            <w:shd w:val="clear" w:color="auto" w:fill="FFF5E7"/>
          </w:tcPr>
          <w:p w14:paraId="6EA6C0A6" w14:textId="77777777" w:rsidR="006D16F1" w:rsidRPr="006D16F1" w:rsidRDefault="006D16F1" w:rsidP="006D16F1">
            <w:pPr>
              <w:spacing w:after="160" w:line="259" w:lineRule="auto"/>
              <w:rPr>
                <w:rFonts w:ascii="Calibri" w:eastAsia="Calibri" w:hAnsi="Calibri"/>
                <w:spacing w:val="0"/>
                <w:szCs w:val="22"/>
              </w:rPr>
            </w:pPr>
          </w:p>
          <w:p w14:paraId="0E397FEB"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Depends on Employer</w:t>
            </w:r>
          </w:p>
        </w:tc>
        <w:tc>
          <w:tcPr>
            <w:tcW w:w="2790"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4EED0528"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 xml:space="preserve">Enrolled in HSA qualified high-deductible health plan (HDHP), with no other </w:t>
            </w:r>
            <w:r w:rsidR="009073C8">
              <w:rPr>
                <w:rFonts w:ascii="Calibri" w:eastAsia="Calibri" w:hAnsi="Calibri"/>
                <w:spacing w:val="0"/>
                <w:szCs w:val="22"/>
              </w:rPr>
              <w:t>disqualifying</w:t>
            </w:r>
            <w:r w:rsidRPr="006D16F1">
              <w:rPr>
                <w:rFonts w:ascii="Calibri" w:eastAsia="Calibri" w:hAnsi="Calibri"/>
                <w:spacing w:val="0"/>
                <w:szCs w:val="22"/>
              </w:rPr>
              <w:t xml:space="preserve"> coverage</w:t>
            </w:r>
          </w:p>
        </w:tc>
      </w:tr>
      <w:tr w:rsidR="006D16F1" w:rsidRPr="006D16F1" w14:paraId="46225A9D"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6B2CA5EF"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 xml:space="preserve">Requirements for Associated </w:t>
            </w:r>
            <w:r w:rsidR="00B40854">
              <w:rPr>
                <w:rFonts w:ascii="Calibri" w:eastAsia="Calibri" w:hAnsi="Calibri"/>
                <w:b/>
                <w:bCs/>
                <w:spacing w:val="0"/>
                <w:szCs w:val="22"/>
              </w:rPr>
              <w:t xml:space="preserve">Group </w:t>
            </w:r>
            <w:r w:rsidRPr="006D16F1">
              <w:rPr>
                <w:rFonts w:ascii="Calibri" w:eastAsia="Calibri" w:hAnsi="Calibri"/>
                <w:b/>
                <w:bCs/>
                <w:spacing w:val="0"/>
                <w:szCs w:val="22"/>
              </w:rPr>
              <w:t>Health Plan</w:t>
            </w:r>
          </w:p>
        </w:tc>
        <w:tc>
          <w:tcPr>
            <w:tcW w:w="2416"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2AE6B165"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None, but usually paired with high</w:t>
            </w:r>
            <w:r w:rsidR="007B0259">
              <w:rPr>
                <w:rFonts w:ascii="Calibri" w:eastAsia="Calibri" w:hAnsi="Calibri"/>
                <w:spacing w:val="0"/>
                <w:szCs w:val="22"/>
              </w:rPr>
              <w:t>-</w:t>
            </w:r>
            <w:r w:rsidRPr="006D16F1">
              <w:rPr>
                <w:rFonts w:ascii="Calibri" w:eastAsia="Calibri" w:hAnsi="Calibri"/>
                <w:spacing w:val="0"/>
                <w:szCs w:val="22"/>
              </w:rPr>
              <w:t>deductible health plan</w:t>
            </w:r>
            <w:r w:rsidR="00B40854">
              <w:rPr>
                <w:rFonts w:ascii="Calibri" w:eastAsia="Calibri" w:hAnsi="Calibri"/>
                <w:spacing w:val="0"/>
                <w:szCs w:val="22"/>
              </w:rPr>
              <w:t xml:space="preserve"> (HDHP)</w:t>
            </w:r>
          </w:p>
        </w:tc>
        <w:tc>
          <w:tcPr>
            <w:tcW w:w="2571" w:type="dxa"/>
            <w:tcBorders>
              <w:top w:val="single" w:sz="8" w:space="0" w:color="FFFFFF"/>
              <w:left w:val="single" w:sz="8" w:space="0" w:color="FFFFFF"/>
              <w:bottom w:val="single" w:sz="8" w:space="0" w:color="FFFFFF"/>
              <w:right w:val="single" w:sz="8" w:space="0" w:color="FFFFFF"/>
            </w:tcBorders>
            <w:shd w:val="clear" w:color="auto" w:fill="FFEACC"/>
          </w:tcPr>
          <w:p w14:paraId="6F3034FF"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None, but must be available only to those who are also eligible for (not necessarily enrolled in) Employer’s group medical plan to maintain excepted benefit status</w:t>
            </w:r>
          </w:p>
        </w:tc>
        <w:tc>
          <w:tcPr>
            <w:tcW w:w="2790"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276E1B84"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Minimum deductible and maximum OOP limits set annually by regulations</w:t>
            </w:r>
          </w:p>
        </w:tc>
      </w:tr>
      <w:tr w:rsidR="006D16F1" w:rsidRPr="006D16F1" w14:paraId="14D018A2"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2EFB13B3"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Contribution Source</w:t>
            </w:r>
          </w:p>
        </w:tc>
        <w:tc>
          <w:tcPr>
            <w:tcW w:w="2416"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712F8B9F"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only</w:t>
            </w:r>
          </w:p>
        </w:tc>
        <w:tc>
          <w:tcPr>
            <w:tcW w:w="2571" w:type="dxa"/>
            <w:tcBorders>
              <w:top w:val="single" w:sz="8" w:space="0" w:color="FFFFFF"/>
              <w:left w:val="single" w:sz="8" w:space="0" w:color="FFFFFF"/>
              <w:bottom w:val="single" w:sz="8" w:space="0" w:color="FFFFFF"/>
              <w:right w:val="single" w:sz="8" w:space="0" w:color="FFFFFF"/>
            </w:tcBorders>
            <w:shd w:val="clear" w:color="auto" w:fill="FFF5E7"/>
          </w:tcPr>
          <w:p w14:paraId="480C4B8C"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or employee</w:t>
            </w:r>
          </w:p>
        </w:tc>
        <w:tc>
          <w:tcPr>
            <w:tcW w:w="2790"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1ABB0C35"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or Individual</w:t>
            </w:r>
          </w:p>
        </w:tc>
      </w:tr>
      <w:tr w:rsidR="006D16F1" w:rsidRPr="006D16F1" w14:paraId="78BD7BC7"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0E4DCE5B"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Contribution Maximum</w:t>
            </w:r>
          </w:p>
        </w:tc>
        <w:tc>
          <w:tcPr>
            <w:tcW w:w="2416"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59F221D1"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determines</w:t>
            </w:r>
          </w:p>
        </w:tc>
        <w:tc>
          <w:tcPr>
            <w:tcW w:w="2571" w:type="dxa"/>
            <w:tcBorders>
              <w:top w:val="single" w:sz="8" w:space="0" w:color="FFFFFF"/>
              <w:left w:val="single" w:sz="8" w:space="0" w:color="FFFFFF"/>
              <w:bottom w:val="single" w:sz="8" w:space="0" w:color="FFFFFF"/>
              <w:right w:val="single" w:sz="8" w:space="0" w:color="FFFFFF"/>
            </w:tcBorders>
            <w:shd w:val="clear" w:color="auto" w:fill="FFEACC"/>
          </w:tcPr>
          <w:p w14:paraId="390847F0"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 xml:space="preserve">Employer </w:t>
            </w:r>
            <w:r w:rsidR="007B0259">
              <w:rPr>
                <w:rFonts w:ascii="Calibri" w:eastAsia="Calibri" w:hAnsi="Calibri"/>
                <w:spacing w:val="0"/>
                <w:szCs w:val="22"/>
              </w:rPr>
              <w:t>–</w:t>
            </w:r>
            <w:r w:rsidRPr="006D16F1">
              <w:rPr>
                <w:rFonts w:ascii="Calibri" w:eastAsia="Calibri" w:hAnsi="Calibri"/>
                <w:spacing w:val="0"/>
                <w:szCs w:val="22"/>
              </w:rPr>
              <w:t xml:space="preserve"> </w:t>
            </w:r>
            <w:r w:rsidR="00B40854">
              <w:rPr>
                <w:rFonts w:ascii="Calibri" w:eastAsia="Calibri" w:hAnsi="Calibri"/>
                <w:spacing w:val="0"/>
                <w:szCs w:val="22"/>
              </w:rPr>
              <w:t xml:space="preserve">greater of (i) </w:t>
            </w:r>
            <w:r w:rsidRPr="006D16F1">
              <w:rPr>
                <w:rFonts w:ascii="Calibri" w:eastAsia="Calibri" w:hAnsi="Calibri"/>
                <w:spacing w:val="0"/>
                <w:szCs w:val="22"/>
              </w:rPr>
              <w:t>$500</w:t>
            </w:r>
            <w:r w:rsidR="00B40854">
              <w:rPr>
                <w:rFonts w:ascii="Calibri" w:eastAsia="Calibri" w:hAnsi="Calibri"/>
                <w:spacing w:val="0"/>
                <w:szCs w:val="22"/>
              </w:rPr>
              <w:t xml:space="preserve">, </w:t>
            </w:r>
            <w:r w:rsidRPr="006D16F1">
              <w:rPr>
                <w:rFonts w:ascii="Calibri" w:eastAsia="Calibri" w:hAnsi="Calibri"/>
                <w:spacing w:val="0"/>
                <w:szCs w:val="22"/>
              </w:rPr>
              <w:t xml:space="preserve">or </w:t>
            </w:r>
            <w:r w:rsidR="00B40854">
              <w:rPr>
                <w:rFonts w:ascii="Calibri" w:eastAsia="Calibri" w:hAnsi="Calibri"/>
                <w:spacing w:val="0"/>
                <w:szCs w:val="22"/>
              </w:rPr>
              <w:t xml:space="preserve">(ii) </w:t>
            </w:r>
            <w:r w:rsidRPr="006D16F1">
              <w:rPr>
                <w:rFonts w:ascii="Calibri" w:eastAsia="Calibri" w:hAnsi="Calibri"/>
                <w:spacing w:val="0"/>
                <w:szCs w:val="22"/>
              </w:rPr>
              <w:t>match of employee contribution to maintain excepted benefit status</w:t>
            </w:r>
          </w:p>
          <w:p w14:paraId="0DBC8314"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Employee – Set annually by regulations</w:t>
            </w:r>
            <w:r w:rsidR="00B40854">
              <w:rPr>
                <w:rFonts w:ascii="Calibri" w:eastAsia="Calibri" w:hAnsi="Calibri"/>
                <w:spacing w:val="0"/>
                <w:szCs w:val="22"/>
              </w:rPr>
              <w:t xml:space="preserve"> </w:t>
            </w:r>
          </w:p>
        </w:tc>
        <w:tc>
          <w:tcPr>
            <w:tcW w:w="2790"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13FD5549"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Set annually by regulations</w:t>
            </w:r>
          </w:p>
        </w:tc>
      </w:tr>
      <w:tr w:rsidR="006D16F1" w:rsidRPr="006D16F1" w14:paraId="30F783CA"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18426C38"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Plan Design and Withdrawal Rules</w:t>
            </w:r>
          </w:p>
        </w:tc>
        <w:tc>
          <w:tcPr>
            <w:tcW w:w="2416"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473E5B9D"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 xml:space="preserve">Funds used for eligible health care expenses </w:t>
            </w:r>
            <w:r w:rsidR="007B0259">
              <w:rPr>
                <w:rFonts w:ascii="Calibri" w:eastAsia="Calibri" w:hAnsi="Calibri"/>
                <w:spacing w:val="0"/>
                <w:szCs w:val="22"/>
              </w:rPr>
              <w:t>–</w:t>
            </w:r>
            <w:r w:rsidRPr="006D16F1">
              <w:rPr>
                <w:rFonts w:ascii="Calibri" w:eastAsia="Calibri" w:hAnsi="Calibri"/>
                <w:spacing w:val="0"/>
                <w:szCs w:val="22"/>
              </w:rPr>
              <w:t xml:space="preserve"> employer determines plan design </w:t>
            </w:r>
          </w:p>
        </w:tc>
        <w:tc>
          <w:tcPr>
            <w:tcW w:w="2571" w:type="dxa"/>
            <w:tcBorders>
              <w:top w:val="single" w:sz="8" w:space="0" w:color="FFFFFF"/>
              <w:left w:val="single" w:sz="8" w:space="0" w:color="FFFFFF"/>
              <w:bottom w:val="single" w:sz="8" w:space="0" w:color="FFFFFF"/>
              <w:right w:val="single" w:sz="8" w:space="0" w:color="FFFFFF"/>
            </w:tcBorders>
            <w:shd w:val="clear" w:color="auto" w:fill="FFF5E7"/>
          </w:tcPr>
          <w:p w14:paraId="3E4D6383"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Funds used for eligible health care expenses – employer determines plan design</w:t>
            </w:r>
          </w:p>
        </w:tc>
        <w:tc>
          <w:tcPr>
            <w:tcW w:w="2790" w:type="dxa"/>
            <w:tcBorders>
              <w:top w:val="single" w:sz="8" w:space="0" w:color="FFFFFF"/>
              <w:left w:val="single" w:sz="8" w:space="0" w:color="FFFFFF"/>
              <w:bottom w:val="single" w:sz="8" w:space="0" w:color="FFFFFF"/>
              <w:right w:val="single" w:sz="8" w:space="0" w:color="FFFFFF"/>
            </w:tcBorders>
            <w:shd w:val="clear" w:color="auto" w:fill="FFF5E7"/>
            <w:tcMar>
              <w:top w:w="72" w:type="dxa"/>
              <w:left w:w="144" w:type="dxa"/>
              <w:bottom w:w="72" w:type="dxa"/>
              <w:right w:w="144" w:type="dxa"/>
            </w:tcMar>
            <w:vAlign w:val="center"/>
            <w:hideMark/>
          </w:tcPr>
          <w:p w14:paraId="39EF6B63"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 xml:space="preserve">Individual </w:t>
            </w:r>
            <w:r w:rsidR="00B40854">
              <w:rPr>
                <w:rFonts w:ascii="Calibri" w:eastAsia="Calibri" w:hAnsi="Calibri"/>
                <w:spacing w:val="0"/>
                <w:szCs w:val="22"/>
              </w:rPr>
              <w:t>c</w:t>
            </w:r>
            <w:r w:rsidRPr="006D16F1">
              <w:rPr>
                <w:rFonts w:ascii="Calibri" w:eastAsia="Calibri" w:hAnsi="Calibri"/>
                <w:spacing w:val="0"/>
                <w:szCs w:val="22"/>
              </w:rPr>
              <w:t xml:space="preserve">ontrols </w:t>
            </w:r>
            <w:r w:rsidR="00B40854">
              <w:rPr>
                <w:rFonts w:ascii="Calibri" w:eastAsia="Calibri" w:hAnsi="Calibri"/>
                <w:spacing w:val="0"/>
                <w:szCs w:val="22"/>
              </w:rPr>
              <w:t>d</w:t>
            </w:r>
            <w:r w:rsidRPr="006D16F1">
              <w:rPr>
                <w:rFonts w:ascii="Calibri" w:eastAsia="Calibri" w:hAnsi="Calibri"/>
                <w:spacing w:val="0"/>
                <w:szCs w:val="22"/>
              </w:rPr>
              <w:t>istributions</w:t>
            </w:r>
            <w:r w:rsidR="00B40854">
              <w:rPr>
                <w:rFonts w:ascii="Calibri" w:eastAsia="Calibri" w:hAnsi="Calibri"/>
                <w:spacing w:val="0"/>
                <w:szCs w:val="22"/>
              </w:rPr>
              <w:t>, but they are t</w:t>
            </w:r>
            <w:r w:rsidRPr="006D16F1">
              <w:rPr>
                <w:rFonts w:ascii="Calibri" w:eastAsia="Calibri" w:hAnsi="Calibri"/>
                <w:spacing w:val="0"/>
                <w:szCs w:val="22"/>
              </w:rPr>
              <w:t>ax-free only for qualif</w:t>
            </w:r>
            <w:r w:rsidR="00B40854">
              <w:rPr>
                <w:rFonts w:ascii="Calibri" w:eastAsia="Calibri" w:hAnsi="Calibri"/>
                <w:spacing w:val="0"/>
                <w:szCs w:val="22"/>
              </w:rPr>
              <w:t>ying</w:t>
            </w:r>
            <w:r w:rsidRPr="006D16F1">
              <w:rPr>
                <w:rFonts w:ascii="Calibri" w:eastAsia="Calibri" w:hAnsi="Calibri"/>
                <w:spacing w:val="0"/>
                <w:szCs w:val="22"/>
              </w:rPr>
              <w:t xml:space="preserve"> medical expenses</w:t>
            </w:r>
          </w:p>
        </w:tc>
      </w:tr>
      <w:tr w:rsidR="006D16F1" w:rsidRPr="006D16F1" w14:paraId="4AB60678" w14:textId="77777777" w:rsidTr="00E64719">
        <w:trPr>
          <w:trHeight w:val="579"/>
        </w:trPr>
        <w:tc>
          <w:tcPr>
            <w:tcW w:w="2303"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2287B985"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b/>
                <w:bCs/>
                <w:spacing w:val="0"/>
                <w:szCs w:val="22"/>
              </w:rPr>
              <w:t>Carryover/Rollover</w:t>
            </w:r>
          </w:p>
        </w:tc>
        <w:tc>
          <w:tcPr>
            <w:tcW w:w="2416"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4BE4F4B0"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determines if unused funds may be rolled over or vested</w:t>
            </w:r>
          </w:p>
        </w:tc>
        <w:tc>
          <w:tcPr>
            <w:tcW w:w="2571" w:type="dxa"/>
            <w:tcBorders>
              <w:top w:val="single" w:sz="8" w:space="0" w:color="FFFFFF"/>
              <w:left w:val="single" w:sz="8" w:space="0" w:color="FFFFFF"/>
              <w:bottom w:val="single" w:sz="8" w:space="0" w:color="FFFFFF"/>
              <w:right w:val="single" w:sz="8" w:space="0" w:color="FFFFFF"/>
            </w:tcBorders>
            <w:shd w:val="clear" w:color="auto" w:fill="FFEACC"/>
          </w:tcPr>
          <w:p w14:paraId="298BE7D2"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Employer determines if up to $5</w:t>
            </w:r>
            <w:r w:rsidR="009073C8">
              <w:rPr>
                <w:rFonts w:ascii="Calibri" w:eastAsia="Calibri" w:hAnsi="Calibri"/>
                <w:spacing w:val="0"/>
                <w:szCs w:val="22"/>
              </w:rPr>
              <w:t>7</w:t>
            </w:r>
            <w:r w:rsidRPr="006D16F1">
              <w:rPr>
                <w:rFonts w:ascii="Calibri" w:eastAsia="Calibri" w:hAnsi="Calibri"/>
                <w:spacing w:val="0"/>
                <w:szCs w:val="22"/>
              </w:rPr>
              <w:t>0</w:t>
            </w:r>
            <w:r w:rsidR="008007A5">
              <w:rPr>
                <w:rFonts w:ascii="Calibri" w:eastAsia="Calibri" w:hAnsi="Calibri"/>
                <w:spacing w:val="0"/>
                <w:szCs w:val="22"/>
              </w:rPr>
              <w:t xml:space="preserve"> (in 2022)</w:t>
            </w:r>
            <w:r w:rsidRPr="006D16F1">
              <w:rPr>
                <w:rFonts w:ascii="Calibri" w:eastAsia="Calibri" w:hAnsi="Calibri"/>
                <w:spacing w:val="0"/>
                <w:szCs w:val="22"/>
              </w:rPr>
              <w:t xml:space="preserve"> may be carried over to the next plan year</w:t>
            </w:r>
          </w:p>
        </w:tc>
        <w:tc>
          <w:tcPr>
            <w:tcW w:w="2790" w:type="dxa"/>
            <w:tcBorders>
              <w:top w:val="single" w:sz="8" w:space="0" w:color="FFFFFF"/>
              <w:left w:val="single" w:sz="8" w:space="0" w:color="FFFFFF"/>
              <w:bottom w:val="single" w:sz="8" w:space="0" w:color="FFFFFF"/>
              <w:right w:val="single" w:sz="8" w:space="0" w:color="FFFFFF"/>
            </w:tcBorders>
            <w:shd w:val="clear" w:color="auto" w:fill="FFEACC"/>
            <w:tcMar>
              <w:top w:w="72" w:type="dxa"/>
              <w:left w:w="144" w:type="dxa"/>
              <w:bottom w:w="72" w:type="dxa"/>
              <w:right w:w="144" w:type="dxa"/>
            </w:tcMar>
            <w:vAlign w:val="center"/>
            <w:hideMark/>
          </w:tcPr>
          <w:p w14:paraId="77491BA2" w14:textId="77777777" w:rsidR="006D16F1" w:rsidRPr="006D16F1" w:rsidRDefault="006D16F1" w:rsidP="006D16F1">
            <w:pPr>
              <w:spacing w:after="160" w:line="259" w:lineRule="auto"/>
              <w:rPr>
                <w:rFonts w:ascii="Calibri" w:eastAsia="Calibri" w:hAnsi="Calibri"/>
                <w:spacing w:val="0"/>
                <w:szCs w:val="22"/>
              </w:rPr>
            </w:pPr>
            <w:r w:rsidRPr="006D16F1">
              <w:rPr>
                <w:rFonts w:ascii="Calibri" w:eastAsia="Calibri" w:hAnsi="Calibri"/>
                <w:spacing w:val="0"/>
                <w:szCs w:val="22"/>
              </w:rPr>
              <w:t>Unused funds rolled over and are portable</w:t>
            </w:r>
          </w:p>
        </w:tc>
      </w:tr>
    </w:tbl>
    <w:p w14:paraId="442303BC" w14:textId="77777777" w:rsidR="006D16F1" w:rsidRPr="006D16F1" w:rsidRDefault="006D16F1" w:rsidP="006D16F1">
      <w:pPr>
        <w:pStyle w:val="BodyText"/>
      </w:pPr>
    </w:p>
    <w:p w14:paraId="0E530A7B" w14:textId="77777777" w:rsidR="00430C9F" w:rsidRDefault="00261BF6" w:rsidP="00261BF6">
      <w:pPr>
        <w:pStyle w:val="Heading1"/>
        <w:rPr>
          <w:noProof/>
        </w:rPr>
      </w:pPr>
      <w:bookmarkStart w:id="22" w:name="AppendixE"/>
      <w:bookmarkStart w:id="23" w:name="_Toc510627683"/>
      <w:bookmarkEnd w:id="22"/>
      <w:r>
        <w:rPr>
          <w:noProof/>
        </w:rPr>
        <w:t xml:space="preserve">Appendix </w:t>
      </w:r>
      <w:r w:rsidR="00E64719">
        <w:rPr>
          <w:noProof/>
        </w:rPr>
        <w:t>E</w:t>
      </w:r>
      <w:r>
        <w:rPr>
          <w:noProof/>
        </w:rPr>
        <w:t xml:space="preserve"> – Additional Resources</w:t>
      </w:r>
      <w:bookmarkEnd w:id="23"/>
    </w:p>
    <w:p w14:paraId="22C5D997" w14:textId="77777777" w:rsidR="00430C9F" w:rsidRDefault="00430C9F" w:rsidP="00430C9F">
      <w:pPr>
        <w:rPr>
          <w:noProof/>
        </w:rPr>
      </w:pPr>
    </w:p>
    <w:p w14:paraId="1B394595" w14:textId="77777777" w:rsidR="00003B91" w:rsidRDefault="00086793" w:rsidP="00430C9F">
      <w:pPr>
        <w:rPr>
          <w:noProof/>
        </w:rPr>
      </w:pPr>
      <w:r>
        <w:rPr>
          <w:noProof/>
        </w:rPr>
        <w:t xml:space="preserve">Basic rules for HSAs are found in </w:t>
      </w:r>
      <w:r w:rsidR="00003B91">
        <w:rPr>
          <w:noProof/>
        </w:rPr>
        <w:t xml:space="preserve">Code </w:t>
      </w:r>
      <w:r w:rsidR="00003B91">
        <w:rPr>
          <w:rFonts w:cs="Arial"/>
          <w:noProof/>
        </w:rPr>
        <w:t>§</w:t>
      </w:r>
      <w:r w:rsidR="00003B91">
        <w:rPr>
          <w:noProof/>
        </w:rPr>
        <w:t>223 – Health Savings Accounts</w:t>
      </w:r>
    </w:p>
    <w:p w14:paraId="7F2F22CB" w14:textId="77777777" w:rsidR="003916B4" w:rsidRDefault="003916B4" w:rsidP="00430C9F">
      <w:pPr>
        <w:rPr>
          <w:noProof/>
        </w:rPr>
      </w:pPr>
    </w:p>
    <w:p w14:paraId="4E56B264" w14:textId="77777777" w:rsidR="00003B91" w:rsidRPr="00925983" w:rsidRDefault="00086793" w:rsidP="00430C9F">
      <w:r>
        <w:rPr>
          <w:noProof/>
        </w:rPr>
        <w:t xml:space="preserve">Comparability rules for employer HSA contributions not run through a cafeteria plan </w:t>
      </w:r>
      <w:r w:rsidR="007B0259">
        <w:rPr>
          <w:noProof/>
        </w:rPr>
        <w:t>–</w:t>
      </w:r>
      <w:r>
        <w:rPr>
          <w:noProof/>
        </w:rPr>
        <w:t xml:space="preserve"> </w:t>
      </w:r>
      <w:bookmarkStart w:id="24" w:name="CDHC:2190.109-1"/>
      <w:r w:rsidRPr="00925983">
        <w:rPr>
          <w:rFonts w:cs="Arial"/>
          <w:bCs/>
          <w:spacing w:val="2"/>
          <w:sz w:val="23"/>
          <w:szCs w:val="23"/>
        </w:rPr>
        <w:t>Treas. Reg. §§54.4980G-1 through 54.4980G-5</w:t>
      </w:r>
      <w:bookmarkEnd w:id="24"/>
    </w:p>
    <w:p w14:paraId="6F068EDA" w14:textId="77777777" w:rsidR="00086793" w:rsidRDefault="00086793" w:rsidP="00430C9F">
      <w:pPr>
        <w:rPr>
          <w:noProof/>
        </w:rPr>
      </w:pPr>
    </w:p>
    <w:p w14:paraId="69A329F1" w14:textId="77777777" w:rsidR="00430C9F" w:rsidRDefault="00261BF6" w:rsidP="00430C9F">
      <w:pPr>
        <w:rPr>
          <w:noProof/>
        </w:rPr>
      </w:pPr>
      <w:r>
        <w:rPr>
          <w:noProof/>
        </w:rPr>
        <w:t>IRS Notices including Q&amp;A</w:t>
      </w:r>
      <w:r w:rsidR="00086793">
        <w:rPr>
          <w:noProof/>
        </w:rPr>
        <w:t xml:space="preserve"> on various HSA requirements:</w:t>
      </w:r>
    </w:p>
    <w:p w14:paraId="338D005B" w14:textId="77777777" w:rsidR="00086793" w:rsidRPr="00C97CE6" w:rsidRDefault="00C97CE6" w:rsidP="00C97CE6">
      <w:pPr>
        <w:numPr>
          <w:ilvl w:val="0"/>
          <w:numId w:val="17"/>
        </w:numPr>
        <w:spacing w:before="72" w:after="72"/>
        <w:rPr>
          <w:rFonts w:cs="Arial"/>
          <w:color w:val="252525"/>
          <w:spacing w:val="0"/>
          <w:sz w:val="23"/>
          <w:szCs w:val="23"/>
        </w:rPr>
      </w:pPr>
      <w:bookmarkStart w:id="25" w:name="CDHC:2190.90-1"/>
      <w:r w:rsidRPr="00925983">
        <w:rPr>
          <w:rFonts w:cs="Arial"/>
          <w:bCs/>
          <w:color w:val="252525"/>
          <w:spacing w:val="2"/>
          <w:sz w:val="23"/>
          <w:szCs w:val="23"/>
        </w:rPr>
        <w:t>I</w:t>
      </w:r>
      <w:bookmarkEnd w:id="25"/>
      <w:r w:rsidRPr="00925983">
        <w:rPr>
          <w:rFonts w:cs="Arial"/>
          <w:bCs/>
          <w:color w:val="252525"/>
          <w:spacing w:val="2"/>
          <w:sz w:val="23"/>
          <w:szCs w:val="23"/>
        </w:rPr>
        <w:t>RS Notice 2004-02</w:t>
      </w:r>
      <w:r w:rsidR="00086793">
        <w:rPr>
          <w:rFonts w:cs="Arial"/>
          <w:color w:val="252525"/>
          <w:sz w:val="23"/>
          <w:szCs w:val="23"/>
        </w:rPr>
        <w:t> </w:t>
      </w:r>
      <w:r w:rsidR="007B0259">
        <w:rPr>
          <w:rFonts w:cs="Arial"/>
          <w:color w:val="252525"/>
          <w:sz w:val="23"/>
          <w:szCs w:val="23"/>
        </w:rPr>
        <w:t>–</w:t>
      </w:r>
      <w:r>
        <w:rPr>
          <w:rFonts w:cs="Arial"/>
          <w:color w:val="252525"/>
          <w:sz w:val="23"/>
          <w:szCs w:val="23"/>
        </w:rPr>
        <w:t xml:space="preserve"> </w:t>
      </w:r>
      <w:hyperlink r:id="rId16" w:anchor="NOT-2004-2" w:history="1">
        <w:r w:rsidRPr="006B190B">
          <w:rPr>
            <w:rStyle w:val="Hyperlink"/>
            <w:rFonts w:cs="Arial"/>
            <w:sz w:val="23"/>
            <w:szCs w:val="23"/>
          </w:rPr>
          <w:t>https://www.irs.gov/irb/2004-02_IRB#NOT-2004-2</w:t>
        </w:r>
      </w:hyperlink>
    </w:p>
    <w:p w14:paraId="43537BEC" w14:textId="77777777" w:rsidR="00C97CE6" w:rsidRDefault="00925983" w:rsidP="00925983">
      <w:pPr>
        <w:numPr>
          <w:ilvl w:val="0"/>
          <w:numId w:val="17"/>
        </w:numPr>
        <w:spacing w:before="72" w:after="72"/>
        <w:rPr>
          <w:rFonts w:cs="Arial"/>
          <w:color w:val="252525"/>
          <w:spacing w:val="0"/>
          <w:sz w:val="23"/>
          <w:szCs w:val="23"/>
        </w:rPr>
      </w:pPr>
      <w:r>
        <w:rPr>
          <w:rFonts w:cs="Arial"/>
          <w:color w:val="252525"/>
          <w:spacing w:val="0"/>
          <w:sz w:val="23"/>
          <w:szCs w:val="23"/>
        </w:rPr>
        <w:t xml:space="preserve">IRS Notice 2004-50 </w:t>
      </w:r>
      <w:r w:rsidR="007B0259">
        <w:rPr>
          <w:rFonts w:cs="Arial"/>
          <w:color w:val="252525"/>
          <w:spacing w:val="0"/>
          <w:sz w:val="23"/>
          <w:szCs w:val="23"/>
        </w:rPr>
        <w:t>–</w:t>
      </w:r>
      <w:r>
        <w:rPr>
          <w:rFonts w:cs="Arial"/>
          <w:color w:val="252525"/>
          <w:spacing w:val="0"/>
          <w:sz w:val="23"/>
          <w:szCs w:val="23"/>
        </w:rPr>
        <w:t xml:space="preserve"> </w:t>
      </w:r>
      <w:hyperlink r:id="rId17" w:anchor="NOT-2004-50" w:history="1">
        <w:r w:rsidRPr="006B190B">
          <w:rPr>
            <w:rStyle w:val="Hyperlink"/>
            <w:rFonts w:cs="Arial"/>
            <w:spacing w:val="0"/>
            <w:sz w:val="23"/>
            <w:szCs w:val="23"/>
          </w:rPr>
          <w:t>https://www.irs.gov/irb/2004-33_IRB#NOT-2004-50</w:t>
        </w:r>
      </w:hyperlink>
    </w:p>
    <w:p w14:paraId="74C5F6E8" w14:textId="77777777" w:rsidR="00925983" w:rsidRDefault="00925983" w:rsidP="00925983">
      <w:pPr>
        <w:numPr>
          <w:ilvl w:val="0"/>
          <w:numId w:val="17"/>
        </w:numPr>
        <w:spacing w:before="72" w:after="72"/>
        <w:rPr>
          <w:rFonts w:cs="Arial"/>
          <w:color w:val="252525"/>
          <w:spacing w:val="0"/>
          <w:sz w:val="23"/>
          <w:szCs w:val="23"/>
        </w:rPr>
      </w:pPr>
      <w:r>
        <w:rPr>
          <w:rFonts w:cs="Arial"/>
          <w:color w:val="252525"/>
          <w:spacing w:val="0"/>
          <w:sz w:val="23"/>
          <w:szCs w:val="23"/>
        </w:rPr>
        <w:t xml:space="preserve">IRS Notice 2008-52 </w:t>
      </w:r>
      <w:r w:rsidR="007B0259">
        <w:rPr>
          <w:rFonts w:cs="Arial"/>
          <w:color w:val="252525"/>
          <w:spacing w:val="0"/>
          <w:sz w:val="23"/>
          <w:szCs w:val="23"/>
        </w:rPr>
        <w:t>–</w:t>
      </w:r>
      <w:r>
        <w:rPr>
          <w:rFonts w:cs="Arial"/>
          <w:color w:val="252525"/>
          <w:spacing w:val="0"/>
          <w:sz w:val="23"/>
          <w:szCs w:val="23"/>
        </w:rPr>
        <w:t xml:space="preserve"> </w:t>
      </w:r>
      <w:hyperlink r:id="rId18" w:anchor="NOT-2008-52" w:history="1">
        <w:r w:rsidRPr="006B190B">
          <w:rPr>
            <w:rStyle w:val="Hyperlink"/>
            <w:rFonts w:cs="Arial"/>
            <w:spacing w:val="0"/>
            <w:sz w:val="23"/>
            <w:szCs w:val="23"/>
          </w:rPr>
          <w:t>https://www.irs.gov/irb/2008-25_IRB#NOT-2008-52</w:t>
        </w:r>
      </w:hyperlink>
    </w:p>
    <w:p w14:paraId="699E0AE1" w14:textId="5471DCC4" w:rsidR="00925983" w:rsidRDefault="00925983" w:rsidP="00925983">
      <w:pPr>
        <w:numPr>
          <w:ilvl w:val="0"/>
          <w:numId w:val="17"/>
        </w:numPr>
        <w:spacing w:before="72" w:after="72"/>
        <w:rPr>
          <w:rFonts w:cs="Arial"/>
          <w:color w:val="252525"/>
          <w:spacing w:val="0"/>
          <w:sz w:val="23"/>
          <w:szCs w:val="23"/>
        </w:rPr>
      </w:pPr>
      <w:r>
        <w:rPr>
          <w:rFonts w:cs="Arial"/>
          <w:color w:val="252525"/>
          <w:spacing w:val="0"/>
          <w:sz w:val="23"/>
          <w:szCs w:val="23"/>
        </w:rPr>
        <w:t xml:space="preserve">IRS Notice 2008-59 </w:t>
      </w:r>
      <w:r w:rsidR="007B0259">
        <w:rPr>
          <w:rFonts w:cs="Arial"/>
          <w:color w:val="252525"/>
          <w:spacing w:val="0"/>
          <w:sz w:val="23"/>
          <w:szCs w:val="23"/>
        </w:rPr>
        <w:t>–</w:t>
      </w:r>
      <w:r>
        <w:rPr>
          <w:rFonts w:cs="Arial"/>
          <w:color w:val="252525"/>
          <w:spacing w:val="0"/>
          <w:sz w:val="23"/>
          <w:szCs w:val="23"/>
        </w:rPr>
        <w:t xml:space="preserve"> </w:t>
      </w:r>
      <w:hyperlink r:id="rId19" w:anchor="NOT-2008-59" w:history="1">
        <w:r w:rsidRPr="006B190B">
          <w:rPr>
            <w:rStyle w:val="Hyperlink"/>
            <w:rFonts w:cs="Arial"/>
            <w:spacing w:val="0"/>
            <w:sz w:val="23"/>
            <w:szCs w:val="23"/>
          </w:rPr>
          <w:t>https://www.irs.gov/irb/2008-29_IRB#NOT-2008-59</w:t>
        </w:r>
      </w:hyperlink>
    </w:p>
    <w:p w14:paraId="6F144974" w14:textId="77777777" w:rsidR="00C37200" w:rsidRDefault="00C37200" w:rsidP="003F095F"/>
    <w:p w14:paraId="7852E0AC" w14:textId="77777777" w:rsidR="00B81530" w:rsidRDefault="00B81530" w:rsidP="003F095F">
      <w:r>
        <w:t xml:space="preserve">IRS </w:t>
      </w:r>
      <w:r w:rsidR="00421130">
        <w:t>Pub</w:t>
      </w:r>
      <w:r>
        <w:t>lication</w:t>
      </w:r>
      <w:r w:rsidR="00421130">
        <w:t xml:space="preserve"> 969</w:t>
      </w:r>
      <w:r>
        <w:t xml:space="preserve"> – </w:t>
      </w:r>
      <w:r w:rsidRPr="00B81530">
        <w:t>Health Savings Accounts and Other Tax-Favored Health Plans</w:t>
      </w:r>
      <w:r>
        <w:t xml:space="preserve"> –</w:t>
      </w:r>
    </w:p>
    <w:p w14:paraId="1E82184E" w14:textId="42CC6109" w:rsidR="00B81530" w:rsidRDefault="00000000" w:rsidP="003F095F">
      <w:hyperlink r:id="rId20" w:history="1">
        <w:r w:rsidR="00B81530" w:rsidRPr="00D825F3">
          <w:rPr>
            <w:rStyle w:val="Hyperlink"/>
          </w:rPr>
          <w:t>https://www.irs.gov/pub/irs-pdf/p969.pdf</w:t>
        </w:r>
      </w:hyperlink>
      <w:r w:rsidR="00552249">
        <w:t xml:space="preserve"> (Will likely be updated in Jan 2023 for 2022 returns)</w:t>
      </w:r>
    </w:p>
    <w:p w14:paraId="7FEB1883" w14:textId="77777777" w:rsidR="00B81530" w:rsidRDefault="00B81530" w:rsidP="003F095F"/>
    <w:p w14:paraId="791851EC" w14:textId="77777777" w:rsidR="00334125" w:rsidRDefault="00334125" w:rsidP="003F095F"/>
    <w:p w14:paraId="350BC026" w14:textId="77777777" w:rsidR="00C37200" w:rsidRDefault="00C37200" w:rsidP="003F095F"/>
    <w:p w14:paraId="1ED73D8F" w14:textId="77777777" w:rsidR="00334125" w:rsidRDefault="00334125" w:rsidP="003F095F"/>
    <w:p w14:paraId="426162ED" w14:textId="77777777" w:rsidR="003F095F" w:rsidRPr="003F095F" w:rsidRDefault="003F095F" w:rsidP="003F095F">
      <w:pPr>
        <w:tabs>
          <w:tab w:val="left" w:pos="8140"/>
          <w:tab w:val="left" w:pos="9760"/>
        </w:tabs>
      </w:pPr>
      <w:r>
        <w:tab/>
      </w:r>
      <w:r>
        <w:tab/>
      </w:r>
    </w:p>
    <w:sectPr w:rsidR="003F095F" w:rsidRPr="003F095F" w:rsidSect="00B84EF1">
      <w:headerReference w:type="even" r:id="rId21"/>
      <w:headerReference w:type="default" r:id="rId22"/>
      <w:footerReference w:type="default" r:id="rId23"/>
      <w:headerReference w:type="first" r:id="rId24"/>
      <w:pgSz w:w="12240" w:h="15840"/>
      <w:pgMar w:top="720" w:right="720" w:bottom="720" w:left="720" w:header="965"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2EBD" w14:textId="77777777" w:rsidR="00CA266A" w:rsidRDefault="00CA266A" w:rsidP="00AC5167">
      <w:r>
        <w:separator/>
      </w:r>
    </w:p>
  </w:endnote>
  <w:endnote w:type="continuationSeparator" w:id="0">
    <w:p w14:paraId="3A247EB3" w14:textId="77777777" w:rsidR="00CA266A" w:rsidRDefault="00CA266A" w:rsidP="00AC5167">
      <w:r>
        <w:continuationSeparator/>
      </w:r>
    </w:p>
  </w:endnote>
  <w:endnote w:type="continuationNotice" w:id="1">
    <w:p w14:paraId="7459B100" w14:textId="77777777" w:rsidR="00CA266A" w:rsidRDefault="00CA26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519" w14:textId="77777777" w:rsidR="00E64719" w:rsidRDefault="00E64719" w:rsidP="00AC51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7085AA3" w14:textId="77777777" w:rsidR="00E64719" w:rsidRDefault="00E64719" w:rsidP="00AC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821E" w14:textId="77777777" w:rsidR="00E64719" w:rsidRDefault="00E64719" w:rsidP="00CB55DB">
    <w:pPr>
      <w:pStyle w:val="Footer"/>
    </w:pPr>
    <w:r>
      <w:rPr>
        <w:rFonts w:ascii="Arial" w:hAnsi="Arial" w:cs="Arial"/>
        <w:sz w:val="18"/>
        <w:szCs w:val="18"/>
      </w:rPr>
      <w:t>© 20</w:t>
    </w:r>
    <w:r w:rsidR="00B53FF7">
      <w:rPr>
        <w:rFonts w:ascii="Arial" w:hAnsi="Arial" w:cs="Arial"/>
        <w:sz w:val="18"/>
        <w:szCs w:val="18"/>
      </w:rPr>
      <w:t>2</w:t>
    </w:r>
    <w:r w:rsidR="0025112D">
      <w:rPr>
        <w:rFonts w:ascii="Arial" w:hAnsi="Arial" w:cs="Arial"/>
        <w:sz w:val="18"/>
        <w:szCs w:val="18"/>
      </w:rPr>
      <w:t>2</w:t>
    </w:r>
    <w:r>
      <w:rPr>
        <w:rFonts w:ascii="Arial" w:hAnsi="Arial" w:cs="Arial"/>
        <w:sz w:val="18"/>
        <w:szCs w:val="18"/>
      </w:rPr>
      <w:t xml:space="preserve"> </w:t>
    </w:r>
    <w:r w:rsidRPr="000E440C">
      <w:rPr>
        <w:rFonts w:ascii="Arial" w:hAnsi="Arial" w:cs="Arial"/>
        <w:sz w:val="18"/>
        <w:szCs w:val="18"/>
      </w:rPr>
      <w:t>Benefit Comply LLC</w:t>
    </w:r>
    <w:r>
      <w:rPr>
        <w:rStyle w:val="PageNumber"/>
      </w:rPr>
      <w:t xml:space="preserve">                                                                                                     </w:t>
    </w:r>
    <w:r w:rsidRPr="00567713">
      <w:rPr>
        <w:rStyle w:val="PageNumber"/>
        <w:rFonts w:ascii="Arial" w:hAnsi="Arial" w:cs="Arial"/>
        <w:b w:val="0"/>
        <w:szCs w:val="22"/>
      </w:rPr>
      <w:fldChar w:fldCharType="begin"/>
    </w:r>
    <w:r w:rsidRPr="00567713">
      <w:rPr>
        <w:rStyle w:val="PageNumber"/>
        <w:rFonts w:ascii="Arial" w:hAnsi="Arial" w:cs="Arial"/>
        <w:b w:val="0"/>
        <w:szCs w:val="22"/>
      </w:rPr>
      <w:instrText xml:space="preserve">PAGE  </w:instrText>
    </w:r>
    <w:r w:rsidRPr="00567713">
      <w:rPr>
        <w:rStyle w:val="PageNumber"/>
        <w:rFonts w:ascii="Arial" w:hAnsi="Arial" w:cs="Arial"/>
        <w:b w:val="0"/>
        <w:szCs w:val="22"/>
      </w:rPr>
      <w:fldChar w:fldCharType="separate"/>
    </w:r>
    <w:r w:rsidR="002C701C">
      <w:rPr>
        <w:rStyle w:val="PageNumber"/>
        <w:rFonts w:ascii="Arial" w:hAnsi="Arial" w:cs="Arial"/>
        <w:b w:val="0"/>
        <w:noProof/>
        <w:szCs w:val="22"/>
      </w:rPr>
      <w:t>21</w:t>
    </w:r>
    <w:r w:rsidRPr="00567713">
      <w:rPr>
        <w:rStyle w:val="PageNumber"/>
        <w:rFonts w:ascii="Arial" w:hAnsi="Arial" w:cs="Arial"/>
        <w:b w:val="0"/>
        <w:szCs w:val="22"/>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9FC6" w14:textId="77777777" w:rsidR="00CA266A" w:rsidRDefault="00CA266A" w:rsidP="00AC5167">
      <w:r>
        <w:separator/>
      </w:r>
    </w:p>
  </w:footnote>
  <w:footnote w:type="continuationSeparator" w:id="0">
    <w:p w14:paraId="1AE6E3D1" w14:textId="77777777" w:rsidR="00CA266A" w:rsidRDefault="00CA266A" w:rsidP="00AC5167">
      <w:r>
        <w:continuationSeparator/>
      </w:r>
    </w:p>
  </w:footnote>
  <w:footnote w:type="continuationNotice" w:id="1">
    <w:p w14:paraId="78FB9BF1" w14:textId="77777777" w:rsidR="00CA266A" w:rsidRDefault="00CA26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4B4F" w14:textId="77777777" w:rsidR="00E64719" w:rsidRDefault="00CA266A" w:rsidP="00AC5167">
    <w:pPr>
      <w:pStyle w:val="Header"/>
    </w:pPr>
    <w:r>
      <w:rPr>
        <w:noProof/>
      </w:rPr>
      <w:pict w14:anchorId="24306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17.95pt;height:57.55pt;rotation:315;z-index:-251659264;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179" w14:textId="77777777" w:rsidR="00E64719" w:rsidRDefault="00CA266A" w:rsidP="00AC5167">
    <w:pPr>
      <w:pStyle w:val="Header"/>
    </w:pPr>
    <w:r>
      <w:rPr>
        <w:noProof/>
      </w:rPr>
      <w:pict w14:anchorId="70AB9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25" type="#_x0000_t136" alt="" style="position:absolute;margin-left:0;margin-top:0;width:517.95pt;height:57.55pt;rotation:315;z-index:-251658240;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p w14:paraId="68CBC3D8" w14:textId="77777777" w:rsidR="00E64719" w:rsidRDefault="00E64719" w:rsidP="00AC5167"/>
  <w:p w14:paraId="6C251D18" w14:textId="77777777" w:rsidR="00E64719" w:rsidRDefault="00E64719" w:rsidP="00AC5167"/>
  <w:p w14:paraId="66DA0393" w14:textId="77777777" w:rsidR="00E64719" w:rsidRDefault="00E64719" w:rsidP="00AC5167"/>
  <w:p w14:paraId="54C800EF" w14:textId="77777777" w:rsidR="00E64719" w:rsidRDefault="00E64719" w:rsidP="00AC51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6DE" w14:textId="77777777" w:rsidR="00E64719" w:rsidRPr="00B84EF1" w:rsidRDefault="00E64719" w:rsidP="00B84E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B838" w14:textId="77777777" w:rsidR="00E64719" w:rsidRDefault="00E64719" w:rsidP="00AC5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D32"/>
    <w:multiLevelType w:val="multilevel"/>
    <w:tmpl w:val="050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15E47"/>
    <w:multiLevelType w:val="hybridMultilevel"/>
    <w:tmpl w:val="52C6074A"/>
    <w:lvl w:ilvl="0" w:tplc="DC82EFEE">
      <w:start w:val="1"/>
      <w:numFmt w:val="bullet"/>
      <w:pStyle w:val="Bullet1"/>
      <w:lvlText w:val=""/>
      <w:lvlJc w:val="left"/>
      <w:pPr>
        <w:ind w:left="720" w:hanging="360"/>
      </w:pPr>
      <w:rPr>
        <w:rFonts w:ascii="Symbol" w:hAnsi="Symbol" w:hint="default"/>
      </w:rPr>
    </w:lvl>
    <w:lvl w:ilvl="1" w:tplc="AFEA30A2">
      <w:start w:val="1"/>
      <w:numFmt w:val="bullet"/>
      <w:pStyle w:val="Bullet2"/>
      <w:lvlText w:val="o"/>
      <w:lvlJc w:val="left"/>
      <w:pPr>
        <w:ind w:left="1440" w:hanging="360"/>
      </w:pPr>
      <w:rPr>
        <w:rFonts w:ascii="Courier New" w:hAnsi="Courier New" w:cs="Courier New" w:hint="default"/>
      </w:rPr>
    </w:lvl>
    <w:lvl w:ilvl="2" w:tplc="F9E45FD6">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04710"/>
    <w:multiLevelType w:val="hybridMultilevel"/>
    <w:tmpl w:val="CAB8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578A"/>
    <w:multiLevelType w:val="hybridMultilevel"/>
    <w:tmpl w:val="D6AA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F23F08"/>
    <w:multiLevelType w:val="hybridMultilevel"/>
    <w:tmpl w:val="9A3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73F60"/>
    <w:multiLevelType w:val="hybridMultilevel"/>
    <w:tmpl w:val="19E60422"/>
    <w:lvl w:ilvl="0" w:tplc="D9485E00">
      <w:start w:val="1"/>
      <w:numFmt w:val="bullet"/>
      <w:lvlText w:val="•"/>
      <w:lvlJc w:val="left"/>
      <w:pPr>
        <w:tabs>
          <w:tab w:val="num" w:pos="720"/>
        </w:tabs>
        <w:ind w:left="720" w:hanging="360"/>
      </w:pPr>
      <w:rPr>
        <w:rFonts w:ascii="Arial" w:hAnsi="Arial" w:hint="default"/>
      </w:rPr>
    </w:lvl>
    <w:lvl w:ilvl="1" w:tplc="ACEAFF9C">
      <w:numFmt w:val="bullet"/>
      <w:lvlText w:val="•"/>
      <w:lvlJc w:val="left"/>
      <w:pPr>
        <w:tabs>
          <w:tab w:val="num" w:pos="1440"/>
        </w:tabs>
        <w:ind w:left="1440" w:hanging="360"/>
      </w:pPr>
      <w:rPr>
        <w:rFonts w:ascii="Arial" w:hAnsi="Arial" w:hint="default"/>
      </w:rPr>
    </w:lvl>
    <w:lvl w:ilvl="2" w:tplc="C456AE3C">
      <w:numFmt w:val="bullet"/>
      <w:lvlText w:val="•"/>
      <w:lvlJc w:val="left"/>
      <w:pPr>
        <w:tabs>
          <w:tab w:val="num" w:pos="2160"/>
        </w:tabs>
        <w:ind w:left="2160" w:hanging="360"/>
      </w:pPr>
      <w:rPr>
        <w:rFonts w:ascii="Arial" w:hAnsi="Arial" w:hint="default"/>
      </w:rPr>
    </w:lvl>
    <w:lvl w:ilvl="3" w:tplc="C4767B4A" w:tentative="1">
      <w:start w:val="1"/>
      <w:numFmt w:val="bullet"/>
      <w:lvlText w:val="•"/>
      <w:lvlJc w:val="left"/>
      <w:pPr>
        <w:tabs>
          <w:tab w:val="num" w:pos="2880"/>
        </w:tabs>
        <w:ind w:left="2880" w:hanging="360"/>
      </w:pPr>
      <w:rPr>
        <w:rFonts w:ascii="Arial" w:hAnsi="Arial" w:hint="default"/>
      </w:rPr>
    </w:lvl>
    <w:lvl w:ilvl="4" w:tplc="38767E46" w:tentative="1">
      <w:start w:val="1"/>
      <w:numFmt w:val="bullet"/>
      <w:lvlText w:val="•"/>
      <w:lvlJc w:val="left"/>
      <w:pPr>
        <w:tabs>
          <w:tab w:val="num" w:pos="3600"/>
        </w:tabs>
        <w:ind w:left="3600" w:hanging="360"/>
      </w:pPr>
      <w:rPr>
        <w:rFonts w:ascii="Arial" w:hAnsi="Arial" w:hint="default"/>
      </w:rPr>
    </w:lvl>
    <w:lvl w:ilvl="5" w:tplc="CD12B8FE" w:tentative="1">
      <w:start w:val="1"/>
      <w:numFmt w:val="bullet"/>
      <w:lvlText w:val="•"/>
      <w:lvlJc w:val="left"/>
      <w:pPr>
        <w:tabs>
          <w:tab w:val="num" w:pos="4320"/>
        </w:tabs>
        <w:ind w:left="4320" w:hanging="360"/>
      </w:pPr>
      <w:rPr>
        <w:rFonts w:ascii="Arial" w:hAnsi="Arial" w:hint="default"/>
      </w:rPr>
    </w:lvl>
    <w:lvl w:ilvl="6" w:tplc="7ACEAE46" w:tentative="1">
      <w:start w:val="1"/>
      <w:numFmt w:val="bullet"/>
      <w:lvlText w:val="•"/>
      <w:lvlJc w:val="left"/>
      <w:pPr>
        <w:tabs>
          <w:tab w:val="num" w:pos="5040"/>
        </w:tabs>
        <w:ind w:left="5040" w:hanging="360"/>
      </w:pPr>
      <w:rPr>
        <w:rFonts w:ascii="Arial" w:hAnsi="Arial" w:hint="default"/>
      </w:rPr>
    </w:lvl>
    <w:lvl w:ilvl="7" w:tplc="40685FE8" w:tentative="1">
      <w:start w:val="1"/>
      <w:numFmt w:val="bullet"/>
      <w:lvlText w:val="•"/>
      <w:lvlJc w:val="left"/>
      <w:pPr>
        <w:tabs>
          <w:tab w:val="num" w:pos="5760"/>
        </w:tabs>
        <w:ind w:left="5760" w:hanging="360"/>
      </w:pPr>
      <w:rPr>
        <w:rFonts w:ascii="Arial" w:hAnsi="Arial" w:hint="default"/>
      </w:rPr>
    </w:lvl>
    <w:lvl w:ilvl="8" w:tplc="B93257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7B18F6"/>
    <w:multiLevelType w:val="hybridMultilevel"/>
    <w:tmpl w:val="8C621076"/>
    <w:lvl w:ilvl="0" w:tplc="EFE6E2B8">
      <w:start w:val="1"/>
      <w:numFmt w:val="bullet"/>
      <w:lvlText w:val="•"/>
      <w:lvlJc w:val="left"/>
      <w:pPr>
        <w:tabs>
          <w:tab w:val="num" w:pos="720"/>
        </w:tabs>
        <w:ind w:left="720" w:hanging="360"/>
      </w:pPr>
      <w:rPr>
        <w:rFonts w:ascii="Arial" w:hAnsi="Arial" w:hint="default"/>
      </w:rPr>
    </w:lvl>
    <w:lvl w:ilvl="1" w:tplc="5DA02BDE">
      <w:numFmt w:val="bullet"/>
      <w:lvlText w:val="•"/>
      <w:lvlJc w:val="left"/>
      <w:pPr>
        <w:tabs>
          <w:tab w:val="num" w:pos="1440"/>
        </w:tabs>
        <w:ind w:left="1440" w:hanging="360"/>
      </w:pPr>
      <w:rPr>
        <w:rFonts w:ascii="Arial" w:hAnsi="Arial" w:hint="default"/>
      </w:rPr>
    </w:lvl>
    <w:lvl w:ilvl="2" w:tplc="73760780">
      <w:numFmt w:val="bullet"/>
      <w:lvlText w:val="•"/>
      <w:lvlJc w:val="left"/>
      <w:pPr>
        <w:tabs>
          <w:tab w:val="num" w:pos="2160"/>
        </w:tabs>
        <w:ind w:left="2160" w:hanging="360"/>
      </w:pPr>
      <w:rPr>
        <w:rFonts w:ascii="Arial" w:hAnsi="Arial" w:hint="default"/>
      </w:rPr>
    </w:lvl>
    <w:lvl w:ilvl="3" w:tplc="F552CB88">
      <w:numFmt w:val="bullet"/>
      <w:lvlText w:val="•"/>
      <w:lvlJc w:val="left"/>
      <w:pPr>
        <w:tabs>
          <w:tab w:val="num" w:pos="2880"/>
        </w:tabs>
        <w:ind w:left="2880" w:hanging="360"/>
      </w:pPr>
      <w:rPr>
        <w:rFonts w:ascii="Arial" w:hAnsi="Arial" w:hint="default"/>
      </w:rPr>
    </w:lvl>
    <w:lvl w:ilvl="4" w:tplc="C062F7F2" w:tentative="1">
      <w:start w:val="1"/>
      <w:numFmt w:val="bullet"/>
      <w:lvlText w:val="•"/>
      <w:lvlJc w:val="left"/>
      <w:pPr>
        <w:tabs>
          <w:tab w:val="num" w:pos="3600"/>
        </w:tabs>
        <w:ind w:left="3600" w:hanging="360"/>
      </w:pPr>
      <w:rPr>
        <w:rFonts w:ascii="Arial" w:hAnsi="Arial" w:hint="default"/>
      </w:rPr>
    </w:lvl>
    <w:lvl w:ilvl="5" w:tplc="ADC62BB2" w:tentative="1">
      <w:start w:val="1"/>
      <w:numFmt w:val="bullet"/>
      <w:lvlText w:val="•"/>
      <w:lvlJc w:val="left"/>
      <w:pPr>
        <w:tabs>
          <w:tab w:val="num" w:pos="4320"/>
        </w:tabs>
        <w:ind w:left="4320" w:hanging="360"/>
      </w:pPr>
      <w:rPr>
        <w:rFonts w:ascii="Arial" w:hAnsi="Arial" w:hint="default"/>
      </w:rPr>
    </w:lvl>
    <w:lvl w:ilvl="6" w:tplc="B1429E00" w:tentative="1">
      <w:start w:val="1"/>
      <w:numFmt w:val="bullet"/>
      <w:lvlText w:val="•"/>
      <w:lvlJc w:val="left"/>
      <w:pPr>
        <w:tabs>
          <w:tab w:val="num" w:pos="5040"/>
        </w:tabs>
        <w:ind w:left="5040" w:hanging="360"/>
      </w:pPr>
      <w:rPr>
        <w:rFonts w:ascii="Arial" w:hAnsi="Arial" w:hint="default"/>
      </w:rPr>
    </w:lvl>
    <w:lvl w:ilvl="7" w:tplc="098E0800" w:tentative="1">
      <w:start w:val="1"/>
      <w:numFmt w:val="bullet"/>
      <w:lvlText w:val="•"/>
      <w:lvlJc w:val="left"/>
      <w:pPr>
        <w:tabs>
          <w:tab w:val="num" w:pos="5760"/>
        </w:tabs>
        <w:ind w:left="5760" w:hanging="360"/>
      </w:pPr>
      <w:rPr>
        <w:rFonts w:ascii="Arial" w:hAnsi="Arial" w:hint="default"/>
      </w:rPr>
    </w:lvl>
    <w:lvl w:ilvl="8" w:tplc="699AC6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2C0672"/>
    <w:multiLevelType w:val="hybridMultilevel"/>
    <w:tmpl w:val="F91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D3292"/>
    <w:multiLevelType w:val="hybridMultilevel"/>
    <w:tmpl w:val="8A60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0" w15:restartNumberingAfterBreak="0">
    <w:nsid w:val="5574175E"/>
    <w:multiLevelType w:val="hybridMultilevel"/>
    <w:tmpl w:val="6368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2A429B"/>
    <w:multiLevelType w:val="hybridMultilevel"/>
    <w:tmpl w:val="E37E1DD4"/>
    <w:lvl w:ilvl="0" w:tplc="A76C6B00">
      <w:start w:val="1"/>
      <w:numFmt w:val="bullet"/>
      <w:lvlText w:val="•"/>
      <w:lvlJc w:val="left"/>
      <w:pPr>
        <w:tabs>
          <w:tab w:val="num" w:pos="720"/>
        </w:tabs>
        <w:ind w:left="720" w:hanging="360"/>
      </w:pPr>
      <w:rPr>
        <w:rFonts w:ascii="Arial" w:hAnsi="Arial" w:hint="default"/>
      </w:rPr>
    </w:lvl>
    <w:lvl w:ilvl="1" w:tplc="78DC2B24">
      <w:numFmt w:val="bullet"/>
      <w:lvlText w:val="•"/>
      <w:lvlJc w:val="left"/>
      <w:pPr>
        <w:tabs>
          <w:tab w:val="num" w:pos="1440"/>
        </w:tabs>
        <w:ind w:left="1440" w:hanging="360"/>
      </w:pPr>
      <w:rPr>
        <w:rFonts w:ascii="Arial" w:hAnsi="Arial" w:hint="default"/>
      </w:rPr>
    </w:lvl>
    <w:lvl w:ilvl="2" w:tplc="555412DC">
      <w:numFmt w:val="bullet"/>
      <w:lvlText w:val="•"/>
      <w:lvlJc w:val="left"/>
      <w:pPr>
        <w:tabs>
          <w:tab w:val="num" w:pos="2160"/>
        </w:tabs>
        <w:ind w:left="2160" w:hanging="360"/>
      </w:pPr>
      <w:rPr>
        <w:rFonts w:ascii="Arial" w:hAnsi="Arial" w:hint="default"/>
      </w:rPr>
    </w:lvl>
    <w:lvl w:ilvl="3" w:tplc="DE806694">
      <w:numFmt w:val="bullet"/>
      <w:lvlText w:val="•"/>
      <w:lvlJc w:val="left"/>
      <w:pPr>
        <w:tabs>
          <w:tab w:val="num" w:pos="2880"/>
        </w:tabs>
        <w:ind w:left="2880" w:hanging="360"/>
      </w:pPr>
      <w:rPr>
        <w:rFonts w:ascii="Arial" w:hAnsi="Arial" w:hint="default"/>
      </w:rPr>
    </w:lvl>
    <w:lvl w:ilvl="4" w:tplc="ACB086C6">
      <w:start w:val="1"/>
      <w:numFmt w:val="bullet"/>
      <w:lvlText w:val="•"/>
      <w:lvlJc w:val="left"/>
      <w:pPr>
        <w:tabs>
          <w:tab w:val="num" w:pos="3600"/>
        </w:tabs>
        <w:ind w:left="3600" w:hanging="360"/>
      </w:pPr>
      <w:rPr>
        <w:rFonts w:ascii="Arial" w:hAnsi="Arial" w:hint="default"/>
      </w:rPr>
    </w:lvl>
    <w:lvl w:ilvl="5" w:tplc="00A88074" w:tentative="1">
      <w:start w:val="1"/>
      <w:numFmt w:val="bullet"/>
      <w:lvlText w:val="•"/>
      <w:lvlJc w:val="left"/>
      <w:pPr>
        <w:tabs>
          <w:tab w:val="num" w:pos="4320"/>
        </w:tabs>
        <w:ind w:left="4320" w:hanging="360"/>
      </w:pPr>
      <w:rPr>
        <w:rFonts w:ascii="Arial" w:hAnsi="Arial" w:hint="default"/>
      </w:rPr>
    </w:lvl>
    <w:lvl w:ilvl="6" w:tplc="78802F64" w:tentative="1">
      <w:start w:val="1"/>
      <w:numFmt w:val="bullet"/>
      <w:lvlText w:val="•"/>
      <w:lvlJc w:val="left"/>
      <w:pPr>
        <w:tabs>
          <w:tab w:val="num" w:pos="5040"/>
        </w:tabs>
        <w:ind w:left="5040" w:hanging="360"/>
      </w:pPr>
      <w:rPr>
        <w:rFonts w:ascii="Arial" w:hAnsi="Arial" w:hint="default"/>
      </w:rPr>
    </w:lvl>
    <w:lvl w:ilvl="7" w:tplc="6EB8EE00" w:tentative="1">
      <w:start w:val="1"/>
      <w:numFmt w:val="bullet"/>
      <w:lvlText w:val="•"/>
      <w:lvlJc w:val="left"/>
      <w:pPr>
        <w:tabs>
          <w:tab w:val="num" w:pos="5760"/>
        </w:tabs>
        <w:ind w:left="5760" w:hanging="360"/>
      </w:pPr>
      <w:rPr>
        <w:rFonts w:ascii="Arial" w:hAnsi="Arial" w:hint="default"/>
      </w:rPr>
    </w:lvl>
    <w:lvl w:ilvl="8" w:tplc="18F60E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2676B5"/>
    <w:multiLevelType w:val="hybridMultilevel"/>
    <w:tmpl w:val="75E2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E414BE"/>
    <w:multiLevelType w:val="hybridMultilevel"/>
    <w:tmpl w:val="C90EA97C"/>
    <w:lvl w:ilvl="0" w:tplc="67CA421A">
      <w:start w:val="1"/>
      <w:numFmt w:val="decimal"/>
      <w:pStyle w:val="Numb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926CA"/>
    <w:multiLevelType w:val="hybridMultilevel"/>
    <w:tmpl w:val="95B8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462C"/>
    <w:multiLevelType w:val="hybridMultilevel"/>
    <w:tmpl w:val="75907776"/>
    <w:lvl w:ilvl="0" w:tplc="735862D2">
      <w:start w:val="1"/>
      <w:numFmt w:val="bullet"/>
      <w:lvlText w:val="•"/>
      <w:lvlJc w:val="left"/>
      <w:pPr>
        <w:tabs>
          <w:tab w:val="num" w:pos="720"/>
        </w:tabs>
        <w:ind w:left="720" w:hanging="360"/>
      </w:pPr>
      <w:rPr>
        <w:rFonts w:ascii="Arial" w:hAnsi="Arial" w:hint="default"/>
      </w:rPr>
    </w:lvl>
    <w:lvl w:ilvl="1" w:tplc="88302BF8">
      <w:numFmt w:val="bullet"/>
      <w:lvlText w:val="•"/>
      <w:lvlJc w:val="left"/>
      <w:pPr>
        <w:tabs>
          <w:tab w:val="num" w:pos="1440"/>
        </w:tabs>
        <w:ind w:left="1440" w:hanging="360"/>
      </w:pPr>
      <w:rPr>
        <w:rFonts w:ascii="Arial" w:hAnsi="Arial" w:hint="default"/>
      </w:rPr>
    </w:lvl>
    <w:lvl w:ilvl="2" w:tplc="5030D0EE">
      <w:numFmt w:val="bullet"/>
      <w:lvlText w:val="•"/>
      <w:lvlJc w:val="left"/>
      <w:pPr>
        <w:tabs>
          <w:tab w:val="num" w:pos="2160"/>
        </w:tabs>
        <w:ind w:left="2160" w:hanging="360"/>
      </w:pPr>
      <w:rPr>
        <w:rFonts w:ascii="Arial" w:hAnsi="Arial" w:hint="default"/>
      </w:rPr>
    </w:lvl>
    <w:lvl w:ilvl="3" w:tplc="BA1686D0" w:tentative="1">
      <w:start w:val="1"/>
      <w:numFmt w:val="bullet"/>
      <w:lvlText w:val="•"/>
      <w:lvlJc w:val="left"/>
      <w:pPr>
        <w:tabs>
          <w:tab w:val="num" w:pos="2880"/>
        </w:tabs>
        <w:ind w:left="2880" w:hanging="360"/>
      </w:pPr>
      <w:rPr>
        <w:rFonts w:ascii="Arial" w:hAnsi="Arial" w:hint="default"/>
      </w:rPr>
    </w:lvl>
    <w:lvl w:ilvl="4" w:tplc="6AF83BD8" w:tentative="1">
      <w:start w:val="1"/>
      <w:numFmt w:val="bullet"/>
      <w:lvlText w:val="•"/>
      <w:lvlJc w:val="left"/>
      <w:pPr>
        <w:tabs>
          <w:tab w:val="num" w:pos="3600"/>
        </w:tabs>
        <w:ind w:left="3600" w:hanging="360"/>
      </w:pPr>
      <w:rPr>
        <w:rFonts w:ascii="Arial" w:hAnsi="Arial" w:hint="default"/>
      </w:rPr>
    </w:lvl>
    <w:lvl w:ilvl="5" w:tplc="5AF01700" w:tentative="1">
      <w:start w:val="1"/>
      <w:numFmt w:val="bullet"/>
      <w:lvlText w:val="•"/>
      <w:lvlJc w:val="left"/>
      <w:pPr>
        <w:tabs>
          <w:tab w:val="num" w:pos="4320"/>
        </w:tabs>
        <w:ind w:left="4320" w:hanging="360"/>
      </w:pPr>
      <w:rPr>
        <w:rFonts w:ascii="Arial" w:hAnsi="Arial" w:hint="default"/>
      </w:rPr>
    </w:lvl>
    <w:lvl w:ilvl="6" w:tplc="BB984918" w:tentative="1">
      <w:start w:val="1"/>
      <w:numFmt w:val="bullet"/>
      <w:lvlText w:val="•"/>
      <w:lvlJc w:val="left"/>
      <w:pPr>
        <w:tabs>
          <w:tab w:val="num" w:pos="5040"/>
        </w:tabs>
        <w:ind w:left="5040" w:hanging="360"/>
      </w:pPr>
      <w:rPr>
        <w:rFonts w:ascii="Arial" w:hAnsi="Arial" w:hint="default"/>
      </w:rPr>
    </w:lvl>
    <w:lvl w:ilvl="7" w:tplc="80E0834E" w:tentative="1">
      <w:start w:val="1"/>
      <w:numFmt w:val="bullet"/>
      <w:lvlText w:val="•"/>
      <w:lvlJc w:val="left"/>
      <w:pPr>
        <w:tabs>
          <w:tab w:val="num" w:pos="5760"/>
        </w:tabs>
        <w:ind w:left="5760" w:hanging="360"/>
      </w:pPr>
      <w:rPr>
        <w:rFonts w:ascii="Arial" w:hAnsi="Arial" w:hint="default"/>
      </w:rPr>
    </w:lvl>
    <w:lvl w:ilvl="8" w:tplc="C67640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7100A4"/>
    <w:multiLevelType w:val="hybridMultilevel"/>
    <w:tmpl w:val="54BE5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F483E"/>
    <w:multiLevelType w:val="hybridMultilevel"/>
    <w:tmpl w:val="779E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3476277">
    <w:abstractNumId w:val="9"/>
  </w:num>
  <w:num w:numId="2" w16cid:durableId="456215291">
    <w:abstractNumId w:val="13"/>
  </w:num>
  <w:num w:numId="3" w16cid:durableId="1332757632">
    <w:abstractNumId w:val="1"/>
  </w:num>
  <w:num w:numId="4" w16cid:durableId="761876188">
    <w:abstractNumId w:val="8"/>
  </w:num>
  <w:num w:numId="5" w16cid:durableId="153374169">
    <w:abstractNumId w:val="16"/>
  </w:num>
  <w:num w:numId="6" w16cid:durableId="996104781">
    <w:abstractNumId w:val="11"/>
  </w:num>
  <w:num w:numId="7" w16cid:durableId="2046978091">
    <w:abstractNumId w:val="6"/>
  </w:num>
  <w:num w:numId="8" w16cid:durableId="84964355">
    <w:abstractNumId w:val="3"/>
  </w:num>
  <w:num w:numId="9" w16cid:durableId="1450278874">
    <w:abstractNumId w:val="4"/>
  </w:num>
  <w:num w:numId="10" w16cid:durableId="699628455">
    <w:abstractNumId w:val="5"/>
  </w:num>
  <w:num w:numId="11" w16cid:durableId="4551788">
    <w:abstractNumId w:val="12"/>
  </w:num>
  <w:num w:numId="12" w16cid:durableId="406652441">
    <w:abstractNumId w:val="14"/>
  </w:num>
  <w:num w:numId="13" w16cid:durableId="416099309">
    <w:abstractNumId w:val="18"/>
  </w:num>
  <w:num w:numId="14" w16cid:durableId="1498299784">
    <w:abstractNumId w:val="2"/>
  </w:num>
  <w:num w:numId="15" w16cid:durableId="1469587953">
    <w:abstractNumId w:val="15"/>
  </w:num>
  <w:num w:numId="16" w16cid:durableId="1342078028">
    <w:abstractNumId w:val="10"/>
  </w:num>
  <w:num w:numId="17" w16cid:durableId="864174647">
    <w:abstractNumId w:val="0"/>
  </w:num>
  <w:num w:numId="18" w16cid:durableId="1774589267">
    <w:abstractNumId w:val="7"/>
  </w:num>
  <w:num w:numId="19" w16cid:durableId="147070535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A"/>
    <w:rsid w:val="00002510"/>
    <w:rsid w:val="00003216"/>
    <w:rsid w:val="00003B91"/>
    <w:rsid w:val="00012E6C"/>
    <w:rsid w:val="000210D7"/>
    <w:rsid w:val="00027295"/>
    <w:rsid w:val="00027763"/>
    <w:rsid w:val="00030045"/>
    <w:rsid w:val="00031FB1"/>
    <w:rsid w:val="00032331"/>
    <w:rsid w:val="00036531"/>
    <w:rsid w:val="00036799"/>
    <w:rsid w:val="00040A9F"/>
    <w:rsid w:val="00042EF8"/>
    <w:rsid w:val="0005255D"/>
    <w:rsid w:val="00061BDC"/>
    <w:rsid w:val="00064E5C"/>
    <w:rsid w:val="00066382"/>
    <w:rsid w:val="0007209B"/>
    <w:rsid w:val="00075B77"/>
    <w:rsid w:val="000824A2"/>
    <w:rsid w:val="00082F5B"/>
    <w:rsid w:val="00083A65"/>
    <w:rsid w:val="000840AB"/>
    <w:rsid w:val="00086793"/>
    <w:rsid w:val="00091799"/>
    <w:rsid w:val="00092A06"/>
    <w:rsid w:val="000B321A"/>
    <w:rsid w:val="000B3B6C"/>
    <w:rsid w:val="000C00CC"/>
    <w:rsid w:val="000C08E3"/>
    <w:rsid w:val="000D4E7E"/>
    <w:rsid w:val="000D7819"/>
    <w:rsid w:val="000E0E00"/>
    <w:rsid w:val="000E440C"/>
    <w:rsid w:val="000E46A1"/>
    <w:rsid w:val="000E4A50"/>
    <w:rsid w:val="000E55B6"/>
    <w:rsid w:val="000E7542"/>
    <w:rsid w:val="000F2C89"/>
    <w:rsid w:val="000F7333"/>
    <w:rsid w:val="000F7844"/>
    <w:rsid w:val="00105960"/>
    <w:rsid w:val="001075C2"/>
    <w:rsid w:val="00110315"/>
    <w:rsid w:val="0011491E"/>
    <w:rsid w:val="0011725E"/>
    <w:rsid w:val="00117969"/>
    <w:rsid w:val="00117C33"/>
    <w:rsid w:val="00120F21"/>
    <w:rsid w:val="00121767"/>
    <w:rsid w:val="001409C3"/>
    <w:rsid w:val="00141252"/>
    <w:rsid w:val="00145EED"/>
    <w:rsid w:val="00155D28"/>
    <w:rsid w:val="001634B7"/>
    <w:rsid w:val="00164DAD"/>
    <w:rsid w:val="001678F0"/>
    <w:rsid w:val="00171FAF"/>
    <w:rsid w:val="00172ECF"/>
    <w:rsid w:val="00174309"/>
    <w:rsid w:val="00190CC1"/>
    <w:rsid w:val="00194A10"/>
    <w:rsid w:val="001A6B57"/>
    <w:rsid w:val="001B6BFA"/>
    <w:rsid w:val="001B72C7"/>
    <w:rsid w:val="001C140E"/>
    <w:rsid w:val="001C1F99"/>
    <w:rsid w:val="001C2A88"/>
    <w:rsid w:val="001C4E50"/>
    <w:rsid w:val="001D355F"/>
    <w:rsid w:val="001D3950"/>
    <w:rsid w:val="001D7C4E"/>
    <w:rsid w:val="001E695C"/>
    <w:rsid w:val="001F198B"/>
    <w:rsid w:val="001F2830"/>
    <w:rsid w:val="001F784B"/>
    <w:rsid w:val="0020507B"/>
    <w:rsid w:val="00212168"/>
    <w:rsid w:val="00212DF9"/>
    <w:rsid w:val="00220C01"/>
    <w:rsid w:val="00226B99"/>
    <w:rsid w:val="0025112D"/>
    <w:rsid w:val="002545CC"/>
    <w:rsid w:val="00254CEC"/>
    <w:rsid w:val="002603D5"/>
    <w:rsid w:val="00261BF6"/>
    <w:rsid w:val="0026298E"/>
    <w:rsid w:val="00280688"/>
    <w:rsid w:val="00286F4C"/>
    <w:rsid w:val="002933A5"/>
    <w:rsid w:val="002A080D"/>
    <w:rsid w:val="002A5CBB"/>
    <w:rsid w:val="002B1EF6"/>
    <w:rsid w:val="002B2FF8"/>
    <w:rsid w:val="002C308E"/>
    <w:rsid w:val="002C701C"/>
    <w:rsid w:val="002D2B52"/>
    <w:rsid w:val="002D2DBF"/>
    <w:rsid w:val="002D660D"/>
    <w:rsid w:val="002E58D6"/>
    <w:rsid w:val="002E7034"/>
    <w:rsid w:val="002F0073"/>
    <w:rsid w:val="002F1AAD"/>
    <w:rsid w:val="002F6A7E"/>
    <w:rsid w:val="003015BD"/>
    <w:rsid w:val="00302DA0"/>
    <w:rsid w:val="0030677C"/>
    <w:rsid w:val="00307044"/>
    <w:rsid w:val="003106A4"/>
    <w:rsid w:val="00316C62"/>
    <w:rsid w:val="00322CC8"/>
    <w:rsid w:val="00326D76"/>
    <w:rsid w:val="00332E50"/>
    <w:rsid w:val="003334AD"/>
    <w:rsid w:val="00334125"/>
    <w:rsid w:val="003369E6"/>
    <w:rsid w:val="00346CD4"/>
    <w:rsid w:val="00347ACF"/>
    <w:rsid w:val="00350525"/>
    <w:rsid w:val="0035580F"/>
    <w:rsid w:val="00356DB7"/>
    <w:rsid w:val="00366570"/>
    <w:rsid w:val="003767CC"/>
    <w:rsid w:val="00380311"/>
    <w:rsid w:val="00380D76"/>
    <w:rsid w:val="0038139A"/>
    <w:rsid w:val="003846D5"/>
    <w:rsid w:val="00384711"/>
    <w:rsid w:val="003860B3"/>
    <w:rsid w:val="0038646D"/>
    <w:rsid w:val="0039024E"/>
    <w:rsid w:val="00391574"/>
    <w:rsid w:val="003916B4"/>
    <w:rsid w:val="00392302"/>
    <w:rsid w:val="00392495"/>
    <w:rsid w:val="003A167C"/>
    <w:rsid w:val="003A2FE0"/>
    <w:rsid w:val="003B358C"/>
    <w:rsid w:val="003B4238"/>
    <w:rsid w:val="003D19F7"/>
    <w:rsid w:val="003D3078"/>
    <w:rsid w:val="003D401D"/>
    <w:rsid w:val="003E0910"/>
    <w:rsid w:val="003E2420"/>
    <w:rsid w:val="003F095F"/>
    <w:rsid w:val="00407911"/>
    <w:rsid w:val="00407F2A"/>
    <w:rsid w:val="00410F21"/>
    <w:rsid w:val="0041468A"/>
    <w:rsid w:val="00420710"/>
    <w:rsid w:val="00420D2D"/>
    <w:rsid w:val="00421130"/>
    <w:rsid w:val="004251FC"/>
    <w:rsid w:val="004266E4"/>
    <w:rsid w:val="00427E05"/>
    <w:rsid w:val="004302B4"/>
    <w:rsid w:val="00430C9F"/>
    <w:rsid w:val="00435022"/>
    <w:rsid w:val="00441B03"/>
    <w:rsid w:val="00446DCC"/>
    <w:rsid w:val="00457E3C"/>
    <w:rsid w:val="0047124A"/>
    <w:rsid w:val="00473AA4"/>
    <w:rsid w:val="00474FCF"/>
    <w:rsid w:val="00477BDA"/>
    <w:rsid w:val="00485627"/>
    <w:rsid w:val="0048659E"/>
    <w:rsid w:val="00487561"/>
    <w:rsid w:val="00490A74"/>
    <w:rsid w:val="00491893"/>
    <w:rsid w:val="004A0F5F"/>
    <w:rsid w:val="004A355C"/>
    <w:rsid w:val="004A3DDF"/>
    <w:rsid w:val="004A3FCA"/>
    <w:rsid w:val="004B0E91"/>
    <w:rsid w:val="004B13C7"/>
    <w:rsid w:val="004B1833"/>
    <w:rsid w:val="004B5E12"/>
    <w:rsid w:val="004B6203"/>
    <w:rsid w:val="004C0817"/>
    <w:rsid w:val="004C0F94"/>
    <w:rsid w:val="004C13A3"/>
    <w:rsid w:val="004C1D8F"/>
    <w:rsid w:val="004C4363"/>
    <w:rsid w:val="004D06A6"/>
    <w:rsid w:val="004D27E6"/>
    <w:rsid w:val="004D2E69"/>
    <w:rsid w:val="004D4071"/>
    <w:rsid w:val="004D4150"/>
    <w:rsid w:val="004E3199"/>
    <w:rsid w:val="004E404B"/>
    <w:rsid w:val="004F0B08"/>
    <w:rsid w:val="004F3981"/>
    <w:rsid w:val="004F728D"/>
    <w:rsid w:val="0050551D"/>
    <w:rsid w:val="00505D1F"/>
    <w:rsid w:val="005061D3"/>
    <w:rsid w:val="005158FF"/>
    <w:rsid w:val="005217C3"/>
    <w:rsid w:val="00521970"/>
    <w:rsid w:val="00521D38"/>
    <w:rsid w:val="005236F6"/>
    <w:rsid w:val="00531286"/>
    <w:rsid w:val="00531625"/>
    <w:rsid w:val="00536576"/>
    <w:rsid w:val="00540F17"/>
    <w:rsid w:val="00541F98"/>
    <w:rsid w:val="00551E29"/>
    <w:rsid w:val="00552249"/>
    <w:rsid w:val="00560445"/>
    <w:rsid w:val="005625D2"/>
    <w:rsid w:val="00564FC0"/>
    <w:rsid w:val="005658FB"/>
    <w:rsid w:val="00567713"/>
    <w:rsid w:val="00575D2B"/>
    <w:rsid w:val="005821D3"/>
    <w:rsid w:val="00591303"/>
    <w:rsid w:val="005B1601"/>
    <w:rsid w:val="005B5363"/>
    <w:rsid w:val="005D55EB"/>
    <w:rsid w:val="005D6DD1"/>
    <w:rsid w:val="005E0B0E"/>
    <w:rsid w:val="005E3DE4"/>
    <w:rsid w:val="005F0063"/>
    <w:rsid w:val="005F4C0B"/>
    <w:rsid w:val="005F72A8"/>
    <w:rsid w:val="006036F3"/>
    <w:rsid w:val="00610CB8"/>
    <w:rsid w:val="00613DDF"/>
    <w:rsid w:val="00615058"/>
    <w:rsid w:val="0062410C"/>
    <w:rsid w:val="00627702"/>
    <w:rsid w:val="00634676"/>
    <w:rsid w:val="0063611E"/>
    <w:rsid w:val="00636843"/>
    <w:rsid w:val="006469AD"/>
    <w:rsid w:val="006478AB"/>
    <w:rsid w:val="00660CFB"/>
    <w:rsid w:val="00664254"/>
    <w:rsid w:val="0066452D"/>
    <w:rsid w:val="00665AE3"/>
    <w:rsid w:val="00666615"/>
    <w:rsid w:val="00675D92"/>
    <w:rsid w:val="00676C04"/>
    <w:rsid w:val="00676C98"/>
    <w:rsid w:val="0067725B"/>
    <w:rsid w:val="006777B0"/>
    <w:rsid w:val="00682676"/>
    <w:rsid w:val="00687686"/>
    <w:rsid w:val="006948D7"/>
    <w:rsid w:val="006A0430"/>
    <w:rsid w:val="006A64B3"/>
    <w:rsid w:val="006A785D"/>
    <w:rsid w:val="006A7C21"/>
    <w:rsid w:val="006B10BE"/>
    <w:rsid w:val="006B10DC"/>
    <w:rsid w:val="006B1F8B"/>
    <w:rsid w:val="006C5F2C"/>
    <w:rsid w:val="006D1677"/>
    <w:rsid w:val="006D16F1"/>
    <w:rsid w:val="006F2BDF"/>
    <w:rsid w:val="006F4E8F"/>
    <w:rsid w:val="006F6222"/>
    <w:rsid w:val="0070004D"/>
    <w:rsid w:val="00700313"/>
    <w:rsid w:val="007060DB"/>
    <w:rsid w:val="0070616E"/>
    <w:rsid w:val="00714746"/>
    <w:rsid w:val="00715485"/>
    <w:rsid w:val="00716F33"/>
    <w:rsid w:val="00717A8B"/>
    <w:rsid w:val="00731E24"/>
    <w:rsid w:val="00741000"/>
    <w:rsid w:val="007470E1"/>
    <w:rsid w:val="007502BB"/>
    <w:rsid w:val="00751360"/>
    <w:rsid w:val="007625F7"/>
    <w:rsid w:val="0077197A"/>
    <w:rsid w:val="0077681D"/>
    <w:rsid w:val="00781A29"/>
    <w:rsid w:val="00785B43"/>
    <w:rsid w:val="00786A79"/>
    <w:rsid w:val="00790D73"/>
    <w:rsid w:val="007919D4"/>
    <w:rsid w:val="0079307B"/>
    <w:rsid w:val="0079480B"/>
    <w:rsid w:val="007A0F97"/>
    <w:rsid w:val="007A369D"/>
    <w:rsid w:val="007A4B6E"/>
    <w:rsid w:val="007A6D4F"/>
    <w:rsid w:val="007A6DC7"/>
    <w:rsid w:val="007A73CD"/>
    <w:rsid w:val="007B0205"/>
    <w:rsid w:val="007B0259"/>
    <w:rsid w:val="007B2299"/>
    <w:rsid w:val="007B416F"/>
    <w:rsid w:val="007C6B41"/>
    <w:rsid w:val="007D1374"/>
    <w:rsid w:val="007D3A66"/>
    <w:rsid w:val="007D4A39"/>
    <w:rsid w:val="007D54EA"/>
    <w:rsid w:val="007E5101"/>
    <w:rsid w:val="007F2E8B"/>
    <w:rsid w:val="007F2FBA"/>
    <w:rsid w:val="007F5520"/>
    <w:rsid w:val="007F5A23"/>
    <w:rsid w:val="007F7A4F"/>
    <w:rsid w:val="008007A5"/>
    <w:rsid w:val="008053B8"/>
    <w:rsid w:val="00805B97"/>
    <w:rsid w:val="00811BFF"/>
    <w:rsid w:val="00830B1A"/>
    <w:rsid w:val="0084386E"/>
    <w:rsid w:val="008478A4"/>
    <w:rsid w:val="0085172F"/>
    <w:rsid w:val="00855B2B"/>
    <w:rsid w:val="00855D18"/>
    <w:rsid w:val="008575B0"/>
    <w:rsid w:val="0087141E"/>
    <w:rsid w:val="00880889"/>
    <w:rsid w:val="00880F24"/>
    <w:rsid w:val="00881C29"/>
    <w:rsid w:val="00891D0A"/>
    <w:rsid w:val="00894DAA"/>
    <w:rsid w:val="00896BCE"/>
    <w:rsid w:val="00896E4E"/>
    <w:rsid w:val="008A04C7"/>
    <w:rsid w:val="008A10C6"/>
    <w:rsid w:val="008A6ACA"/>
    <w:rsid w:val="008B21CD"/>
    <w:rsid w:val="008C12D9"/>
    <w:rsid w:val="008C58F1"/>
    <w:rsid w:val="008D28D7"/>
    <w:rsid w:val="008D726B"/>
    <w:rsid w:val="008E04EA"/>
    <w:rsid w:val="008E0DFB"/>
    <w:rsid w:val="008E7C24"/>
    <w:rsid w:val="008F09BF"/>
    <w:rsid w:val="008F3868"/>
    <w:rsid w:val="00904968"/>
    <w:rsid w:val="009073C8"/>
    <w:rsid w:val="009131B7"/>
    <w:rsid w:val="00913EF9"/>
    <w:rsid w:val="00921DE3"/>
    <w:rsid w:val="00925983"/>
    <w:rsid w:val="00925B97"/>
    <w:rsid w:val="00937714"/>
    <w:rsid w:val="00950AA1"/>
    <w:rsid w:val="00964538"/>
    <w:rsid w:val="00966816"/>
    <w:rsid w:val="009670D8"/>
    <w:rsid w:val="009776B2"/>
    <w:rsid w:val="00984E76"/>
    <w:rsid w:val="00992FDE"/>
    <w:rsid w:val="009975CF"/>
    <w:rsid w:val="009A3DAA"/>
    <w:rsid w:val="009A5A76"/>
    <w:rsid w:val="009B11E4"/>
    <w:rsid w:val="009B233D"/>
    <w:rsid w:val="009B3ABA"/>
    <w:rsid w:val="009B63AA"/>
    <w:rsid w:val="009B71B3"/>
    <w:rsid w:val="009C0546"/>
    <w:rsid w:val="009C2351"/>
    <w:rsid w:val="009C49A1"/>
    <w:rsid w:val="009C56E0"/>
    <w:rsid w:val="009D3329"/>
    <w:rsid w:val="009D4866"/>
    <w:rsid w:val="009E062F"/>
    <w:rsid w:val="009E2C1B"/>
    <w:rsid w:val="009E5984"/>
    <w:rsid w:val="009F4D20"/>
    <w:rsid w:val="009F7FB4"/>
    <w:rsid w:val="00A1124E"/>
    <w:rsid w:val="00A26B0A"/>
    <w:rsid w:val="00A27572"/>
    <w:rsid w:val="00A3035A"/>
    <w:rsid w:val="00A306F9"/>
    <w:rsid w:val="00A30749"/>
    <w:rsid w:val="00A31452"/>
    <w:rsid w:val="00A3268E"/>
    <w:rsid w:val="00A43CCE"/>
    <w:rsid w:val="00A54300"/>
    <w:rsid w:val="00A57316"/>
    <w:rsid w:val="00A6308D"/>
    <w:rsid w:val="00A64E99"/>
    <w:rsid w:val="00A6571A"/>
    <w:rsid w:val="00A70DEB"/>
    <w:rsid w:val="00A7374C"/>
    <w:rsid w:val="00A74A3D"/>
    <w:rsid w:val="00A7787F"/>
    <w:rsid w:val="00A91808"/>
    <w:rsid w:val="00AA2ED4"/>
    <w:rsid w:val="00AA3C5D"/>
    <w:rsid w:val="00AB52CC"/>
    <w:rsid w:val="00AC0028"/>
    <w:rsid w:val="00AC06B9"/>
    <w:rsid w:val="00AC5167"/>
    <w:rsid w:val="00AC51BB"/>
    <w:rsid w:val="00AC5540"/>
    <w:rsid w:val="00AD03B6"/>
    <w:rsid w:val="00AD0D71"/>
    <w:rsid w:val="00AD453E"/>
    <w:rsid w:val="00AD5ED4"/>
    <w:rsid w:val="00AE572A"/>
    <w:rsid w:val="00AE7348"/>
    <w:rsid w:val="00AF478C"/>
    <w:rsid w:val="00AF7656"/>
    <w:rsid w:val="00B0638B"/>
    <w:rsid w:val="00B10B9E"/>
    <w:rsid w:val="00B12840"/>
    <w:rsid w:val="00B15F82"/>
    <w:rsid w:val="00B1667E"/>
    <w:rsid w:val="00B20303"/>
    <w:rsid w:val="00B22913"/>
    <w:rsid w:val="00B23B2F"/>
    <w:rsid w:val="00B23DCF"/>
    <w:rsid w:val="00B23F5D"/>
    <w:rsid w:val="00B2606C"/>
    <w:rsid w:val="00B32EBB"/>
    <w:rsid w:val="00B36476"/>
    <w:rsid w:val="00B37CF2"/>
    <w:rsid w:val="00B40854"/>
    <w:rsid w:val="00B42075"/>
    <w:rsid w:val="00B47300"/>
    <w:rsid w:val="00B50895"/>
    <w:rsid w:val="00B5397A"/>
    <w:rsid w:val="00B53FF7"/>
    <w:rsid w:val="00B559F3"/>
    <w:rsid w:val="00B56699"/>
    <w:rsid w:val="00B61FA6"/>
    <w:rsid w:val="00B64441"/>
    <w:rsid w:val="00B64BED"/>
    <w:rsid w:val="00B663C1"/>
    <w:rsid w:val="00B71318"/>
    <w:rsid w:val="00B81530"/>
    <w:rsid w:val="00B84EF1"/>
    <w:rsid w:val="00B909BE"/>
    <w:rsid w:val="00B94CB5"/>
    <w:rsid w:val="00B95504"/>
    <w:rsid w:val="00B96F29"/>
    <w:rsid w:val="00BA347E"/>
    <w:rsid w:val="00BA4877"/>
    <w:rsid w:val="00BA4F58"/>
    <w:rsid w:val="00BA5D85"/>
    <w:rsid w:val="00BB0271"/>
    <w:rsid w:val="00BB4297"/>
    <w:rsid w:val="00BB42D2"/>
    <w:rsid w:val="00BB6740"/>
    <w:rsid w:val="00BB779E"/>
    <w:rsid w:val="00BC2EEC"/>
    <w:rsid w:val="00BC65D0"/>
    <w:rsid w:val="00BC6A3C"/>
    <w:rsid w:val="00BD36DC"/>
    <w:rsid w:val="00BD4BAC"/>
    <w:rsid w:val="00BD54EA"/>
    <w:rsid w:val="00BE4FA3"/>
    <w:rsid w:val="00BF0F0F"/>
    <w:rsid w:val="00C00353"/>
    <w:rsid w:val="00C030C3"/>
    <w:rsid w:val="00C05DBD"/>
    <w:rsid w:val="00C06C52"/>
    <w:rsid w:val="00C0720F"/>
    <w:rsid w:val="00C10B8B"/>
    <w:rsid w:val="00C122CD"/>
    <w:rsid w:val="00C15C07"/>
    <w:rsid w:val="00C249CC"/>
    <w:rsid w:val="00C32A0E"/>
    <w:rsid w:val="00C35336"/>
    <w:rsid w:val="00C37200"/>
    <w:rsid w:val="00C40FB9"/>
    <w:rsid w:val="00C469CA"/>
    <w:rsid w:val="00C51290"/>
    <w:rsid w:val="00C64B1A"/>
    <w:rsid w:val="00C71BBE"/>
    <w:rsid w:val="00C74084"/>
    <w:rsid w:val="00C823BB"/>
    <w:rsid w:val="00C87118"/>
    <w:rsid w:val="00C97CE6"/>
    <w:rsid w:val="00CA0340"/>
    <w:rsid w:val="00CA266A"/>
    <w:rsid w:val="00CB55DB"/>
    <w:rsid w:val="00CB7803"/>
    <w:rsid w:val="00CC20C0"/>
    <w:rsid w:val="00CD58D9"/>
    <w:rsid w:val="00CE4D88"/>
    <w:rsid w:val="00D00FCE"/>
    <w:rsid w:val="00D01CFD"/>
    <w:rsid w:val="00D03EBD"/>
    <w:rsid w:val="00D1473F"/>
    <w:rsid w:val="00D15BD5"/>
    <w:rsid w:val="00D21FBC"/>
    <w:rsid w:val="00D228C8"/>
    <w:rsid w:val="00D263D3"/>
    <w:rsid w:val="00D30BCB"/>
    <w:rsid w:val="00D30EDF"/>
    <w:rsid w:val="00D36401"/>
    <w:rsid w:val="00D371CB"/>
    <w:rsid w:val="00D4181B"/>
    <w:rsid w:val="00D50A1D"/>
    <w:rsid w:val="00D5192E"/>
    <w:rsid w:val="00D61838"/>
    <w:rsid w:val="00D61C32"/>
    <w:rsid w:val="00D6230A"/>
    <w:rsid w:val="00D63128"/>
    <w:rsid w:val="00D6383D"/>
    <w:rsid w:val="00D74E41"/>
    <w:rsid w:val="00D77E9D"/>
    <w:rsid w:val="00D91221"/>
    <w:rsid w:val="00D9497A"/>
    <w:rsid w:val="00D96157"/>
    <w:rsid w:val="00DA36BF"/>
    <w:rsid w:val="00DB79C5"/>
    <w:rsid w:val="00DB7D34"/>
    <w:rsid w:val="00DC68BD"/>
    <w:rsid w:val="00DD3FCA"/>
    <w:rsid w:val="00DD70B3"/>
    <w:rsid w:val="00DE4D83"/>
    <w:rsid w:val="00DF089F"/>
    <w:rsid w:val="00DF0C04"/>
    <w:rsid w:val="00DF2DA9"/>
    <w:rsid w:val="00DF7266"/>
    <w:rsid w:val="00E00722"/>
    <w:rsid w:val="00E00864"/>
    <w:rsid w:val="00E10421"/>
    <w:rsid w:val="00E1071E"/>
    <w:rsid w:val="00E11208"/>
    <w:rsid w:val="00E14D82"/>
    <w:rsid w:val="00E176F0"/>
    <w:rsid w:val="00E237FB"/>
    <w:rsid w:val="00E23ECD"/>
    <w:rsid w:val="00E24C62"/>
    <w:rsid w:val="00E24FB7"/>
    <w:rsid w:val="00E267DF"/>
    <w:rsid w:val="00E27A9A"/>
    <w:rsid w:val="00E34BB9"/>
    <w:rsid w:val="00E37420"/>
    <w:rsid w:val="00E45014"/>
    <w:rsid w:val="00E46793"/>
    <w:rsid w:val="00E51E48"/>
    <w:rsid w:val="00E526E3"/>
    <w:rsid w:val="00E55DD5"/>
    <w:rsid w:val="00E56083"/>
    <w:rsid w:val="00E6221F"/>
    <w:rsid w:val="00E64719"/>
    <w:rsid w:val="00E65B9F"/>
    <w:rsid w:val="00E706E1"/>
    <w:rsid w:val="00E717B1"/>
    <w:rsid w:val="00E74A73"/>
    <w:rsid w:val="00E7558A"/>
    <w:rsid w:val="00E80A75"/>
    <w:rsid w:val="00E8207A"/>
    <w:rsid w:val="00E831C9"/>
    <w:rsid w:val="00E83668"/>
    <w:rsid w:val="00E86F05"/>
    <w:rsid w:val="00E8767E"/>
    <w:rsid w:val="00E96527"/>
    <w:rsid w:val="00E96869"/>
    <w:rsid w:val="00E96B0F"/>
    <w:rsid w:val="00EA0DB7"/>
    <w:rsid w:val="00EA31A3"/>
    <w:rsid w:val="00EA79BE"/>
    <w:rsid w:val="00EB63B2"/>
    <w:rsid w:val="00EC4534"/>
    <w:rsid w:val="00EC6915"/>
    <w:rsid w:val="00ED2263"/>
    <w:rsid w:val="00ED53A7"/>
    <w:rsid w:val="00ED5DA4"/>
    <w:rsid w:val="00ED5ED5"/>
    <w:rsid w:val="00EE3728"/>
    <w:rsid w:val="00EE5E2F"/>
    <w:rsid w:val="00EE667A"/>
    <w:rsid w:val="00EE6A4D"/>
    <w:rsid w:val="00EE7569"/>
    <w:rsid w:val="00EE7BAC"/>
    <w:rsid w:val="00EF1210"/>
    <w:rsid w:val="00F03A27"/>
    <w:rsid w:val="00F03FDF"/>
    <w:rsid w:val="00F06C69"/>
    <w:rsid w:val="00F07AD8"/>
    <w:rsid w:val="00F1413C"/>
    <w:rsid w:val="00F14D5E"/>
    <w:rsid w:val="00F1788F"/>
    <w:rsid w:val="00F279F9"/>
    <w:rsid w:val="00F41F8F"/>
    <w:rsid w:val="00F42FE0"/>
    <w:rsid w:val="00F567D8"/>
    <w:rsid w:val="00F608B5"/>
    <w:rsid w:val="00F70741"/>
    <w:rsid w:val="00F745FB"/>
    <w:rsid w:val="00F814C9"/>
    <w:rsid w:val="00F83BBD"/>
    <w:rsid w:val="00F85434"/>
    <w:rsid w:val="00F85EC6"/>
    <w:rsid w:val="00F937A2"/>
    <w:rsid w:val="00F93E0A"/>
    <w:rsid w:val="00FA0B32"/>
    <w:rsid w:val="00FA2A9E"/>
    <w:rsid w:val="00FA3477"/>
    <w:rsid w:val="00FB1A0D"/>
    <w:rsid w:val="00FB6451"/>
    <w:rsid w:val="00FB65C9"/>
    <w:rsid w:val="00FC56F0"/>
    <w:rsid w:val="00FC6BA1"/>
    <w:rsid w:val="00FD4FFD"/>
    <w:rsid w:val="00FE5111"/>
    <w:rsid w:val="00FE6559"/>
    <w:rsid w:val="00FF2E67"/>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74EBE"/>
  <w15:chartTrackingRefBased/>
  <w15:docId w15:val="{F355581F-C8C5-4020-82DD-C22AA248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hidden/>
    <w:qFormat/>
    <w:rsid w:val="00AE572A"/>
    <w:pPr>
      <w:spacing w:after="120"/>
    </w:pPr>
    <w:rPr>
      <w:rFonts w:ascii="Arial" w:hAnsi="Arial"/>
      <w:spacing w:val="-5"/>
      <w:sz w:val="22"/>
    </w:rPr>
  </w:style>
  <w:style w:type="paragraph" w:styleId="Heading1">
    <w:name w:val="heading 1"/>
    <w:basedOn w:val="Normal"/>
    <w:next w:val="BodyText"/>
    <w:qFormat/>
    <w:rsid w:val="00B84EF1"/>
    <w:pPr>
      <w:keepNext/>
      <w:pageBreakBefore/>
      <w:shd w:val="clear" w:color="auto" w:fill="E6E6E6"/>
      <w:spacing w:before="480"/>
      <w:outlineLvl w:val="0"/>
    </w:pPr>
    <w:rPr>
      <w:b/>
      <w:color w:val="000000"/>
      <w:kern w:val="28"/>
      <w:sz w:val="32"/>
      <w:szCs w:val="32"/>
    </w:rPr>
  </w:style>
  <w:style w:type="paragraph" w:styleId="Heading2">
    <w:name w:val="heading 2"/>
    <w:basedOn w:val="Heading4"/>
    <w:next w:val="BodyText"/>
    <w:qFormat/>
    <w:rsid w:val="00B84EF1"/>
    <w:pPr>
      <w:spacing w:before="360"/>
      <w:outlineLvl w:val="1"/>
    </w:pPr>
  </w:style>
  <w:style w:type="paragraph" w:styleId="Heading3">
    <w:name w:val="heading 3"/>
    <w:aliases w:val="Heading 3 Char,Heading 3 Char1 Char,Heading 3 Char Char Char,Heading 3 Char1,Heading 3 Char Char"/>
    <w:basedOn w:val="Heading5"/>
    <w:next w:val="BodyText"/>
    <w:qFormat/>
    <w:rsid w:val="00B5397A"/>
    <w:pPr>
      <w:outlineLvl w:val="2"/>
    </w:pPr>
  </w:style>
  <w:style w:type="paragraph" w:styleId="Heading4">
    <w:name w:val="heading 4"/>
    <w:basedOn w:val="Normal"/>
    <w:next w:val="BodyText"/>
    <w:qFormat/>
    <w:rsid w:val="00AC5167"/>
    <w:pPr>
      <w:outlineLvl w:val="3"/>
    </w:pPr>
    <w:rPr>
      <w:b/>
      <w:sz w:val="24"/>
      <w:szCs w:val="24"/>
    </w:rPr>
  </w:style>
  <w:style w:type="paragraph" w:styleId="Heading5">
    <w:name w:val="heading 5"/>
    <w:basedOn w:val="Normal"/>
    <w:next w:val="BodyText"/>
    <w:qFormat/>
    <w:rsid w:val="005E3DE4"/>
    <w:pPr>
      <w:spacing w:before="240"/>
      <w:outlineLvl w:val="4"/>
    </w:pPr>
    <w:rPr>
      <w:u w:val="single"/>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link w:val="BodyTextChar"/>
    <w:pPr>
      <w:spacing w:after="240"/>
      <w:jc w:val="both"/>
    </w:pPr>
    <w:rPr>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uiPriority w:val="39"/>
    <w:pPr>
      <w:spacing w:before="360"/>
    </w:pPr>
    <w:rPr>
      <w:rFonts w:cs="Arial"/>
      <w:b/>
      <w:bCs/>
      <w:caps/>
      <w:sz w:val="24"/>
      <w:szCs w:val="24"/>
    </w:rPr>
  </w:style>
  <w:style w:type="paragraph" w:styleId="TOC2">
    <w:name w:val="toc 2"/>
    <w:basedOn w:val="TOC1"/>
    <w:uiPriority w:val="39"/>
    <w:pPr>
      <w:spacing w:before="240"/>
    </w:pPr>
    <w:rPr>
      <w:rFonts w:ascii="Times New Roman" w:hAnsi="Times New Roman" w:cs="Times New Roman"/>
      <w:caps w:val="0"/>
      <w:sz w:val="20"/>
      <w:szCs w:val="20"/>
    </w:rPr>
  </w:style>
  <w:style w:type="paragraph" w:styleId="TOC3">
    <w:name w:val="toc 3"/>
    <w:basedOn w:val="Normal"/>
    <w:next w:val="Normal"/>
    <w:uiPriority w:val="39"/>
    <w:pPr>
      <w:ind w:left="160"/>
    </w:pPr>
    <w:rPr>
      <w:rFonts w:ascii="Times New Roman" w:hAnsi="Times New Roman"/>
      <w:sz w:val="20"/>
    </w:rPr>
  </w:style>
  <w:style w:type="paragraph" w:styleId="TOC4">
    <w:name w:val="toc 4"/>
    <w:basedOn w:val="Normal"/>
    <w:next w:val="Normal"/>
    <w:semiHidden/>
    <w:pPr>
      <w:ind w:left="320"/>
    </w:pPr>
    <w:rPr>
      <w:rFonts w:ascii="Times New Roman" w:hAnsi="Times New Roman"/>
      <w:sz w:val="20"/>
    </w:rPr>
  </w:style>
  <w:style w:type="paragraph" w:styleId="TOC5">
    <w:name w:val="toc 5"/>
    <w:basedOn w:val="Normal"/>
    <w:next w:val="Normal"/>
    <w:semiHidden/>
    <w:pPr>
      <w:ind w:left="480"/>
    </w:pPr>
    <w:rPr>
      <w:rFonts w:ascii="Times New Roman" w:hAnsi="Times New Roman"/>
      <w:sz w:val="20"/>
    </w:rPr>
  </w:style>
  <w:style w:type="paragraph" w:styleId="TOC6">
    <w:name w:val="toc 6"/>
    <w:basedOn w:val="Normal"/>
    <w:next w:val="Normal"/>
    <w:semiHidden/>
    <w:pPr>
      <w:ind w:left="640"/>
    </w:pPr>
    <w:rPr>
      <w:rFonts w:ascii="Times New Roman" w:hAnsi="Times New Roman"/>
      <w:sz w:val="20"/>
    </w:rPr>
  </w:style>
  <w:style w:type="paragraph" w:styleId="TOC7">
    <w:name w:val="toc 7"/>
    <w:basedOn w:val="Normal"/>
    <w:next w:val="Normal"/>
    <w:semiHidden/>
    <w:pPr>
      <w:ind w:left="800"/>
    </w:pPr>
    <w:rPr>
      <w:rFonts w:ascii="Times New Roman" w:hAnsi="Times New Roman"/>
      <w:sz w:val="20"/>
    </w:rPr>
  </w:style>
  <w:style w:type="paragraph" w:styleId="TOC8">
    <w:name w:val="toc 8"/>
    <w:basedOn w:val="Normal"/>
    <w:next w:val="Normal"/>
    <w:semiHidden/>
    <w:pPr>
      <w:ind w:left="960"/>
    </w:pPr>
    <w:rPr>
      <w:rFonts w:ascii="Times New Roman" w:hAnsi="Times New Roman"/>
      <w:sz w:val="20"/>
    </w:rPr>
  </w:style>
  <w:style w:type="paragraph" w:styleId="TOC9">
    <w:name w:val="toc 9"/>
    <w:basedOn w:val="Normal"/>
    <w:next w:val="Normal"/>
    <w:semiHidden/>
    <w:pPr>
      <w:ind w:left="1120"/>
    </w:pPr>
    <w:rPr>
      <w:rFonts w:ascii="Times New Roman" w:hAnsi="Times New Roman"/>
      <w:sz w:val="20"/>
    </w:rPr>
  </w:style>
  <w:style w:type="paragraph" w:styleId="CommentText">
    <w:name w:val="annotation text"/>
    <w:basedOn w:val="Normal"/>
    <w:link w:val="CommentTextChar"/>
    <w:uiPriority w:val="99"/>
    <w:semiHidden/>
    <w:pPr>
      <w:tabs>
        <w:tab w:val="left" w:pos="187"/>
      </w:tabs>
      <w:spacing w:line="220" w:lineRule="exact"/>
      <w:ind w:left="187" w:hanging="187"/>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rPr>
  </w:style>
  <w:style w:type="paragraph" w:styleId="List">
    <w:name w:val="List"/>
    <w:basedOn w:val="BodyText"/>
    <w:pPr>
      <w:tabs>
        <w:tab w:val="left" w:pos="720"/>
      </w:tabs>
      <w:ind w:left="360"/>
    </w:pPr>
  </w:style>
  <w:style w:type="paragraph" w:customStyle="1" w:styleId="mbfBod">
    <w:name w:val="mbfBod"/>
    <w:aliases w:val="b"/>
    <w:basedOn w:val="Normal"/>
    <w:rsid w:val="00CC20C0"/>
    <w:pPr>
      <w:suppressAutoHyphens/>
      <w:spacing w:after="240"/>
      <w:ind w:firstLine="720"/>
    </w:pPr>
    <w:rPr>
      <w:rFonts w:ascii="Times New Roman" w:hAnsi="Times New Roman"/>
      <w:sz w:val="24"/>
    </w:r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Normal"/>
    <w:link w:val="ListBullet2Char"/>
    <w:pPr>
      <w:tabs>
        <w:tab w:val="num" w:pos="360"/>
      </w:tabs>
      <w:ind w:left="1080" w:right="360" w:hanging="360"/>
      <w:jc w:val="both"/>
    </w:pPr>
    <w:rPr>
      <w:sz w:val="24"/>
    </w:rPr>
  </w:style>
  <w:style w:type="paragraph" w:styleId="ListBullet3">
    <w:name w:val="List Bullet 3"/>
    <w:basedOn w:val="Normal"/>
    <w:pPr>
      <w:tabs>
        <w:tab w:val="num" w:pos="360"/>
      </w:tabs>
      <w:spacing w:after="240"/>
      <w:ind w:left="1440" w:right="360" w:hanging="360"/>
      <w:jc w:val="both"/>
    </w:pPr>
    <w:rPr>
      <w:sz w:val="24"/>
    </w:rPr>
  </w:style>
  <w:style w:type="paragraph" w:styleId="ListBullet4">
    <w:name w:val="List Bullet 4"/>
    <w:basedOn w:val="Normal"/>
    <w:pPr>
      <w:tabs>
        <w:tab w:val="num" w:pos="360"/>
      </w:tabs>
      <w:spacing w:after="240"/>
      <w:ind w:left="1800" w:right="360" w:hanging="360"/>
      <w:jc w:val="both"/>
    </w:pPr>
    <w:rPr>
      <w:sz w:val="24"/>
    </w:rPr>
  </w:style>
  <w:style w:type="paragraph" w:styleId="ListBullet5">
    <w:name w:val="List Bullet 5"/>
    <w:basedOn w:val="Normal"/>
    <w:pPr>
      <w:framePr w:w="1860" w:wrap="around" w:vAnchor="text" w:hAnchor="page" w:x="1201" w:y="1"/>
      <w:numPr>
        <w:numId w:val="1"/>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HeadingBase"/>
    <w:qFormat/>
    <w:rsid w:val="00E237FB"/>
    <w:pPr>
      <w:pBdr>
        <w:bottom w:val="single" w:sz="6" w:space="14" w:color="808080"/>
      </w:pBdr>
      <w:spacing w:before="100" w:after="100" w:afterAutospacing="1" w:line="600" w:lineRule="exact"/>
      <w:jc w:val="center"/>
    </w:pPr>
    <w:rPr>
      <w:rFonts w:ascii="Arial Black" w:hAnsi="Arial Black"/>
      <w:b w:val="0"/>
      <w:color w:val="000000"/>
      <w:spacing w:val="-35"/>
      <w:sz w:val="48"/>
    </w:rPr>
  </w:style>
  <w:style w:type="paragraph" w:styleId="Subtitle">
    <w:name w:val="Subtitle"/>
    <w:basedOn w:val="Title"/>
    <w:next w:val="BodyText"/>
    <w:qFormat/>
    <w:pPr>
      <w:spacing w:before="1940" w:after="0" w:line="200" w:lineRule="atLeast"/>
    </w:pPr>
    <w:rPr>
      <w:rFonts w:ascii="Garamond" w:hAnsi="Garamond"/>
      <w:bCs/>
      <w:caps/>
      <w:color w:val="808080"/>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semiHidden/>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pPr>
    <w:rPr>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Normal"/>
    <w:next w:val="mbfBod"/>
    <w:pPr>
      <w:tabs>
        <w:tab w:val="num" w:pos="360"/>
      </w:tabs>
      <w:spacing w:before="80" w:after="160"/>
      <w:ind w:left="360" w:hanging="360"/>
    </w:pPr>
    <w:rPr>
      <w:rFonts w:ascii="Times New Roman" w:hAnsi="Times New Roman"/>
      <w:sz w:val="20"/>
    </w:rPr>
  </w:style>
  <w:style w:type="paragraph" w:customStyle="1" w:styleId="ListBulletLast">
    <w:name w:val="List Bullet Last"/>
    <w:basedOn w:val="Normal"/>
    <w:next w:val="BodyText"/>
    <w:pPr>
      <w:tabs>
        <w:tab w:val="num" w:pos="360"/>
      </w:tabs>
      <w:spacing w:after="240"/>
      <w:ind w:left="360" w:hanging="360"/>
    </w:pPr>
    <w:rPr>
      <w:rFonts w:ascii="Times New Roman" w:hAnsi="Times New Roman"/>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semiHidden/>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jc w:val="center"/>
    </w:pPr>
    <w:rPr>
      <w:i/>
      <w:kern w:val="28"/>
      <w:sz w:val="32"/>
    </w:rPr>
  </w:style>
  <w:style w:type="paragraph" w:customStyle="1" w:styleId="PartTitle">
    <w:name w:val="Part Title"/>
    <w:basedOn w:val="Normal"/>
    <w:next w:val="PartLabel"/>
    <w:semiHidden/>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semiHidden/>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uiPriority w:val="99"/>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style>
  <w:style w:type="character" w:styleId="Hyperlink">
    <w:name w:val="Hyperlink"/>
    <w:uiPriority w:val="99"/>
    <w:rPr>
      <w:color w:val="0000FF"/>
      <w:u w:val="single"/>
    </w:rPr>
  </w:style>
  <w:style w:type="paragraph" w:customStyle="1" w:styleId="StyleChapterTitleRight033">
    <w:name w:val="Style Chapter Title + Right:  0.33&quot;"/>
    <w:basedOn w:val="ChapterTitle"/>
    <w:pPr>
      <w:ind w:right="480"/>
    </w:pPr>
    <w:rPr>
      <w:color w:val="000000"/>
      <w:szCs w:val="44"/>
    </w:rPr>
  </w:style>
  <w:style w:type="paragraph" w:styleId="DocumentMap">
    <w:name w:val="Document Map"/>
    <w:basedOn w:val="Normal"/>
    <w:semiHidden/>
    <w:pPr>
      <w:shd w:val="clear" w:color="auto" w:fill="000080"/>
    </w:pPr>
    <w:rPr>
      <w:rFonts w:ascii="Tahoma" w:hAnsi="Tahoma" w:cs="Tahoma"/>
    </w:rPr>
  </w:style>
  <w:style w:type="paragraph" w:customStyle="1" w:styleId="StyleTitle28pt">
    <w:name w:val="Style Title + 28 pt"/>
    <w:basedOn w:val="Title"/>
    <w:semiHidden/>
    <w:rPr>
      <w:sz w:val="56"/>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odytext1">
    <w:name w:val="bodytext1"/>
    <w:basedOn w:val="Index2"/>
    <w:pPr>
      <w:tabs>
        <w:tab w:val="clear" w:pos="3960"/>
      </w:tabs>
      <w:spacing w:after="240" w:line="240" w:lineRule="auto"/>
      <w:ind w:left="3960" w:hanging="360"/>
    </w:pPr>
    <w:rPr>
      <w:rFonts w:ascii="Times New Roman" w:hAnsi="Times New Roman"/>
      <w:sz w:val="24"/>
    </w:rPr>
  </w:style>
  <w:style w:type="paragraph" w:styleId="BalloonText">
    <w:name w:val="Balloon Text"/>
    <w:basedOn w:val="Normal"/>
    <w:semiHidden/>
    <w:rPr>
      <w:rFonts w:ascii="Tahoma" w:hAnsi="Tahoma" w:cs="Tahoma"/>
      <w:szCs w:val="16"/>
    </w:rPr>
  </w:style>
  <w:style w:type="character" w:customStyle="1" w:styleId="StyleArial">
    <w:name w:val="Style Arial"/>
    <w:rPr>
      <w:rFonts w:ascii="Arial" w:hAnsi="Arial"/>
      <w:sz w:val="52"/>
    </w:rPr>
  </w:style>
  <w:style w:type="character" w:customStyle="1" w:styleId="Heading2Char2">
    <w:name w:val="Heading 2 Char2"/>
    <w:aliases w:val="Heading 2 Char Char1"/>
    <w:rsid w:val="00171FAF"/>
    <w:rPr>
      <w:rFonts w:ascii="Arial Black" w:hAnsi="Arial Black"/>
      <w:spacing w:val="-10"/>
      <w:kern w:val="28"/>
      <w:sz w:val="24"/>
      <w:lang w:val="en-US" w:eastAsia="en-US" w:bidi="ar-SA"/>
    </w:rPr>
  </w:style>
  <w:style w:type="character" w:customStyle="1" w:styleId="BodyTextChar">
    <w:name w:val="Body Text Char"/>
    <w:link w:val="BodyText"/>
    <w:rsid w:val="00171FAF"/>
    <w:rPr>
      <w:rFonts w:ascii="Garamond" w:hAnsi="Garamond"/>
      <w:spacing w:val="-5"/>
      <w:sz w:val="24"/>
    </w:rPr>
  </w:style>
  <w:style w:type="paragraph" w:customStyle="1" w:styleId="Bullet1">
    <w:name w:val="Bullet1"/>
    <w:basedOn w:val="Normal"/>
    <w:link w:val="Bullet1Char"/>
    <w:qFormat/>
    <w:rsid w:val="009B233D"/>
    <w:pPr>
      <w:numPr>
        <w:numId w:val="3"/>
      </w:numPr>
    </w:pPr>
  </w:style>
  <w:style w:type="paragraph" w:customStyle="1" w:styleId="Bullet2">
    <w:name w:val="Bullet2"/>
    <w:basedOn w:val="Bullet1"/>
    <w:link w:val="Bullet2Char"/>
    <w:qFormat/>
    <w:rsid w:val="009B233D"/>
    <w:pPr>
      <w:numPr>
        <w:ilvl w:val="1"/>
      </w:numPr>
    </w:pPr>
  </w:style>
  <w:style w:type="character" w:customStyle="1" w:styleId="ListBullet2Char">
    <w:name w:val="List Bullet 2 Char"/>
    <w:link w:val="ListBullet2"/>
    <w:rsid w:val="0077681D"/>
    <w:rPr>
      <w:rFonts w:ascii="Arial" w:hAnsi="Arial"/>
      <w:spacing w:val="-5"/>
      <w:sz w:val="24"/>
    </w:rPr>
  </w:style>
  <w:style w:type="character" w:customStyle="1" w:styleId="Bullet1Char">
    <w:name w:val="Bullet1 Char"/>
    <w:link w:val="Bullet1"/>
    <w:rsid w:val="009B233D"/>
    <w:rPr>
      <w:rFonts w:ascii="Arial" w:hAnsi="Arial"/>
      <w:spacing w:val="-5"/>
      <w:sz w:val="22"/>
    </w:rPr>
  </w:style>
  <w:style w:type="paragraph" w:customStyle="1" w:styleId="NumberList">
    <w:name w:val="Number List"/>
    <w:basedOn w:val="BodyText"/>
    <w:link w:val="NumberListChar"/>
    <w:qFormat/>
    <w:rsid w:val="00E237FB"/>
    <w:pPr>
      <w:numPr>
        <w:numId w:val="2"/>
      </w:numPr>
    </w:pPr>
  </w:style>
  <w:style w:type="character" w:customStyle="1" w:styleId="Bullet2Char">
    <w:name w:val="Bullet2 Char"/>
    <w:link w:val="Bullet2"/>
    <w:rsid w:val="009B233D"/>
    <w:rPr>
      <w:rFonts w:ascii="Arial" w:hAnsi="Arial"/>
      <w:spacing w:val="-5"/>
      <w:sz w:val="22"/>
    </w:rPr>
  </w:style>
  <w:style w:type="paragraph" w:customStyle="1" w:styleId="GridTable31">
    <w:name w:val="Grid Table 31"/>
    <w:basedOn w:val="Heading1"/>
    <w:next w:val="Normal"/>
    <w:uiPriority w:val="39"/>
    <w:unhideWhenUsed/>
    <w:qFormat/>
    <w:rsid w:val="001E695C"/>
    <w:pPr>
      <w:keepLines/>
      <w:shd w:val="clear" w:color="auto" w:fill="auto"/>
      <w:spacing w:before="240" w:after="0" w:line="259" w:lineRule="auto"/>
      <w:outlineLvl w:val="9"/>
    </w:pPr>
    <w:rPr>
      <w:rFonts w:ascii="Calibri Light" w:hAnsi="Calibri Light"/>
      <w:b w:val="0"/>
      <w:color w:val="2E74B5"/>
      <w:spacing w:val="0"/>
      <w:kern w:val="0"/>
    </w:rPr>
  </w:style>
  <w:style w:type="character" w:customStyle="1" w:styleId="NumberListChar">
    <w:name w:val="Number List Char"/>
    <w:link w:val="NumberList"/>
    <w:rsid w:val="00E237FB"/>
    <w:rPr>
      <w:rFonts w:ascii="Arial" w:hAnsi="Arial"/>
      <w:spacing w:val="-5"/>
      <w:sz w:val="24"/>
    </w:rPr>
  </w:style>
  <w:style w:type="paragraph" w:styleId="CommentSubject">
    <w:name w:val="annotation subject"/>
    <w:basedOn w:val="CommentText"/>
    <w:next w:val="CommentText"/>
    <w:link w:val="CommentSubjectChar"/>
    <w:rsid w:val="006C5F2C"/>
    <w:pPr>
      <w:tabs>
        <w:tab w:val="clear" w:pos="187"/>
      </w:tabs>
      <w:spacing w:line="240" w:lineRule="auto"/>
      <w:ind w:left="0" w:firstLine="0"/>
    </w:pPr>
    <w:rPr>
      <w:b/>
      <w:bCs/>
      <w:sz w:val="20"/>
    </w:rPr>
  </w:style>
  <w:style w:type="character" w:customStyle="1" w:styleId="CommentTextChar">
    <w:name w:val="Comment Text Char"/>
    <w:link w:val="CommentText"/>
    <w:uiPriority w:val="99"/>
    <w:semiHidden/>
    <w:rsid w:val="006C5F2C"/>
    <w:rPr>
      <w:rFonts w:ascii="Arial" w:hAnsi="Arial"/>
      <w:spacing w:val="-5"/>
      <w:sz w:val="22"/>
    </w:rPr>
  </w:style>
  <w:style w:type="character" w:customStyle="1" w:styleId="CommentSubjectChar">
    <w:name w:val="Comment Subject Char"/>
    <w:link w:val="CommentSubject"/>
    <w:rsid w:val="006C5F2C"/>
    <w:rPr>
      <w:rFonts w:ascii="Arial" w:hAnsi="Arial"/>
      <w:b/>
      <w:bCs/>
      <w:spacing w:val="-5"/>
      <w:sz w:val="22"/>
    </w:rPr>
  </w:style>
  <w:style w:type="character" w:styleId="FollowedHyperlink">
    <w:name w:val="FollowedHyperlink"/>
    <w:rsid w:val="007B416F"/>
    <w:rPr>
      <w:color w:val="954F72"/>
      <w:u w:val="single"/>
    </w:rPr>
  </w:style>
  <w:style w:type="paragraph" w:customStyle="1" w:styleId="ColorfulList-Accent11">
    <w:name w:val="Colorful List - Accent 11"/>
    <w:basedOn w:val="Normal"/>
    <w:uiPriority w:val="34"/>
    <w:qFormat/>
    <w:rsid w:val="007D3A66"/>
    <w:pPr>
      <w:spacing w:after="0"/>
      <w:ind w:left="720"/>
    </w:pPr>
    <w:rPr>
      <w:rFonts w:ascii="Calibri" w:eastAsia="Calibri" w:hAnsi="Calibri"/>
      <w:spacing w:val="0"/>
      <w:szCs w:val="22"/>
    </w:rPr>
  </w:style>
  <w:style w:type="character" w:customStyle="1" w:styleId="UnresolvedMention2">
    <w:name w:val="Unresolved Mention2"/>
    <w:uiPriority w:val="47"/>
    <w:rsid w:val="00C122CD"/>
    <w:rPr>
      <w:color w:val="808080"/>
      <w:shd w:val="clear" w:color="auto" w:fill="E6E6E6"/>
    </w:rPr>
  </w:style>
  <w:style w:type="paragraph" w:customStyle="1" w:styleId="MediumGrid1-Accent21">
    <w:name w:val="Medium Grid 1 - Accent 21"/>
    <w:basedOn w:val="Normal"/>
    <w:uiPriority w:val="34"/>
    <w:qFormat/>
    <w:rsid w:val="00AE572A"/>
    <w:pPr>
      <w:spacing w:after="0"/>
      <w:ind w:left="720"/>
    </w:pPr>
    <w:rPr>
      <w:rFonts w:ascii="Times New Roman" w:eastAsia="Calibri" w:hAnsi="Times New Roman"/>
      <w:spacing w:val="0"/>
      <w:sz w:val="24"/>
      <w:szCs w:val="24"/>
    </w:rPr>
  </w:style>
  <w:style w:type="paragraph" w:customStyle="1" w:styleId="MediumList2-Accent21">
    <w:name w:val="Medium List 2 - Accent 21"/>
    <w:hidden/>
    <w:uiPriority w:val="71"/>
    <w:unhideWhenUsed/>
    <w:rsid w:val="00AE572A"/>
    <w:rPr>
      <w:rFonts w:ascii="Arial" w:hAnsi="Arial"/>
      <w:spacing w:val="-5"/>
      <w:sz w:val="22"/>
    </w:rPr>
  </w:style>
  <w:style w:type="paragraph" w:customStyle="1" w:styleId="ColorfulList-Accent12">
    <w:name w:val="Colorful List - Accent 12"/>
    <w:basedOn w:val="Normal"/>
    <w:uiPriority w:val="34"/>
    <w:qFormat/>
    <w:rsid w:val="00531286"/>
    <w:pPr>
      <w:spacing w:after="160" w:line="259" w:lineRule="auto"/>
      <w:ind w:left="720"/>
      <w:contextualSpacing/>
    </w:pPr>
    <w:rPr>
      <w:rFonts w:ascii="Calibri" w:eastAsia="Calibri" w:hAnsi="Calibri"/>
      <w:spacing w:val="0"/>
      <w:szCs w:val="22"/>
    </w:rPr>
  </w:style>
  <w:style w:type="character" w:customStyle="1" w:styleId="apple-converted-space">
    <w:name w:val="apple-converted-space"/>
    <w:rsid w:val="00531286"/>
  </w:style>
  <w:style w:type="character" w:customStyle="1" w:styleId="UnresolvedMention1">
    <w:name w:val="Unresolved Mention1"/>
    <w:uiPriority w:val="47"/>
    <w:rsid w:val="00C122CD"/>
    <w:rPr>
      <w:color w:val="808080"/>
      <w:shd w:val="clear" w:color="auto" w:fill="E6E6E6"/>
    </w:rPr>
  </w:style>
  <w:style w:type="character" w:styleId="Strong">
    <w:name w:val="Strong"/>
    <w:uiPriority w:val="22"/>
    <w:qFormat/>
    <w:rsid w:val="00E34BB9"/>
    <w:rPr>
      <w:b/>
      <w:bCs/>
    </w:rPr>
  </w:style>
  <w:style w:type="character" w:customStyle="1" w:styleId="style4">
    <w:name w:val="style4"/>
    <w:rsid w:val="00261BF6"/>
  </w:style>
  <w:style w:type="character" w:styleId="UnresolvedMention">
    <w:name w:val="Unresolved Mention"/>
    <w:uiPriority w:val="50"/>
    <w:rsid w:val="00326D76"/>
    <w:rPr>
      <w:color w:val="605E5C"/>
      <w:shd w:val="clear" w:color="auto" w:fill="E1DFDD"/>
    </w:rPr>
  </w:style>
  <w:style w:type="paragraph" w:styleId="Revision">
    <w:name w:val="Revision"/>
    <w:hidden/>
    <w:unhideWhenUsed/>
    <w:rsid w:val="00937714"/>
    <w:rPr>
      <w:rFonts w:ascii="Arial" w:hAnsi="Arial"/>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40">
      <w:bodyDiv w:val="1"/>
      <w:marLeft w:val="0"/>
      <w:marRight w:val="0"/>
      <w:marTop w:val="0"/>
      <w:marBottom w:val="0"/>
      <w:divBdr>
        <w:top w:val="none" w:sz="0" w:space="0" w:color="auto"/>
        <w:left w:val="none" w:sz="0" w:space="0" w:color="auto"/>
        <w:bottom w:val="none" w:sz="0" w:space="0" w:color="auto"/>
        <w:right w:val="none" w:sz="0" w:space="0" w:color="auto"/>
      </w:divBdr>
    </w:div>
    <w:div w:id="12348467">
      <w:bodyDiv w:val="1"/>
      <w:marLeft w:val="0"/>
      <w:marRight w:val="0"/>
      <w:marTop w:val="0"/>
      <w:marBottom w:val="0"/>
      <w:divBdr>
        <w:top w:val="none" w:sz="0" w:space="0" w:color="auto"/>
        <w:left w:val="none" w:sz="0" w:space="0" w:color="auto"/>
        <w:bottom w:val="none" w:sz="0" w:space="0" w:color="auto"/>
        <w:right w:val="none" w:sz="0" w:space="0" w:color="auto"/>
      </w:divBdr>
    </w:div>
    <w:div w:id="64031108">
      <w:bodyDiv w:val="1"/>
      <w:marLeft w:val="0"/>
      <w:marRight w:val="0"/>
      <w:marTop w:val="0"/>
      <w:marBottom w:val="0"/>
      <w:divBdr>
        <w:top w:val="none" w:sz="0" w:space="0" w:color="auto"/>
        <w:left w:val="none" w:sz="0" w:space="0" w:color="auto"/>
        <w:bottom w:val="none" w:sz="0" w:space="0" w:color="auto"/>
        <w:right w:val="none" w:sz="0" w:space="0" w:color="auto"/>
      </w:divBdr>
    </w:div>
    <w:div w:id="82342127">
      <w:bodyDiv w:val="1"/>
      <w:marLeft w:val="0"/>
      <w:marRight w:val="0"/>
      <w:marTop w:val="0"/>
      <w:marBottom w:val="0"/>
      <w:divBdr>
        <w:top w:val="none" w:sz="0" w:space="0" w:color="auto"/>
        <w:left w:val="none" w:sz="0" w:space="0" w:color="auto"/>
        <w:bottom w:val="none" w:sz="0" w:space="0" w:color="auto"/>
        <w:right w:val="none" w:sz="0" w:space="0" w:color="auto"/>
      </w:divBdr>
      <w:divsChild>
        <w:div w:id="135267202">
          <w:marLeft w:val="1166"/>
          <w:marRight w:val="0"/>
          <w:marTop w:val="86"/>
          <w:marBottom w:val="0"/>
          <w:divBdr>
            <w:top w:val="none" w:sz="0" w:space="0" w:color="auto"/>
            <w:left w:val="none" w:sz="0" w:space="0" w:color="auto"/>
            <w:bottom w:val="none" w:sz="0" w:space="0" w:color="auto"/>
            <w:right w:val="none" w:sz="0" w:space="0" w:color="auto"/>
          </w:divBdr>
        </w:div>
        <w:div w:id="458306867">
          <w:marLeft w:val="1800"/>
          <w:marRight w:val="0"/>
          <w:marTop w:val="86"/>
          <w:marBottom w:val="0"/>
          <w:divBdr>
            <w:top w:val="none" w:sz="0" w:space="0" w:color="auto"/>
            <w:left w:val="none" w:sz="0" w:space="0" w:color="auto"/>
            <w:bottom w:val="none" w:sz="0" w:space="0" w:color="auto"/>
            <w:right w:val="none" w:sz="0" w:space="0" w:color="auto"/>
          </w:divBdr>
        </w:div>
      </w:divsChild>
    </w:div>
    <w:div w:id="178854345">
      <w:bodyDiv w:val="1"/>
      <w:marLeft w:val="0"/>
      <w:marRight w:val="0"/>
      <w:marTop w:val="0"/>
      <w:marBottom w:val="0"/>
      <w:divBdr>
        <w:top w:val="none" w:sz="0" w:space="0" w:color="auto"/>
        <w:left w:val="none" w:sz="0" w:space="0" w:color="auto"/>
        <w:bottom w:val="none" w:sz="0" w:space="0" w:color="auto"/>
        <w:right w:val="none" w:sz="0" w:space="0" w:color="auto"/>
      </w:divBdr>
    </w:div>
    <w:div w:id="245921070">
      <w:bodyDiv w:val="1"/>
      <w:marLeft w:val="0"/>
      <w:marRight w:val="0"/>
      <w:marTop w:val="0"/>
      <w:marBottom w:val="0"/>
      <w:divBdr>
        <w:top w:val="none" w:sz="0" w:space="0" w:color="auto"/>
        <w:left w:val="none" w:sz="0" w:space="0" w:color="auto"/>
        <w:bottom w:val="none" w:sz="0" w:space="0" w:color="auto"/>
        <w:right w:val="none" w:sz="0" w:space="0" w:color="auto"/>
      </w:divBdr>
    </w:div>
    <w:div w:id="427508347">
      <w:bodyDiv w:val="1"/>
      <w:marLeft w:val="0"/>
      <w:marRight w:val="0"/>
      <w:marTop w:val="0"/>
      <w:marBottom w:val="0"/>
      <w:divBdr>
        <w:top w:val="none" w:sz="0" w:space="0" w:color="auto"/>
        <w:left w:val="none" w:sz="0" w:space="0" w:color="auto"/>
        <w:bottom w:val="none" w:sz="0" w:space="0" w:color="auto"/>
        <w:right w:val="none" w:sz="0" w:space="0" w:color="auto"/>
      </w:divBdr>
      <w:divsChild>
        <w:div w:id="1091509401">
          <w:marLeft w:val="1800"/>
          <w:marRight w:val="0"/>
          <w:marTop w:val="86"/>
          <w:marBottom w:val="0"/>
          <w:divBdr>
            <w:top w:val="none" w:sz="0" w:space="0" w:color="auto"/>
            <w:left w:val="none" w:sz="0" w:space="0" w:color="auto"/>
            <w:bottom w:val="none" w:sz="0" w:space="0" w:color="auto"/>
            <w:right w:val="none" w:sz="0" w:space="0" w:color="auto"/>
          </w:divBdr>
        </w:div>
        <w:div w:id="1232232303">
          <w:marLeft w:val="1166"/>
          <w:marRight w:val="0"/>
          <w:marTop w:val="86"/>
          <w:marBottom w:val="0"/>
          <w:divBdr>
            <w:top w:val="none" w:sz="0" w:space="0" w:color="auto"/>
            <w:left w:val="none" w:sz="0" w:space="0" w:color="auto"/>
            <w:bottom w:val="none" w:sz="0" w:space="0" w:color="auto"/>
            <w:right w:val="none" w:sz="0" w:space="0" w:color="auto"/>
          </w:divBdr>
        </w:div>
      </w:divsChild>
    </w:div>
    <w:div w:id="648561778">
      <w:bodyDiv w:val="1"/>
      <w:marLeft w:val="0"/>
      <w:marRight w:val="0"/>
      <w:marTop w:val="0"/>
      <w:marBottom w:val="0"/>
      <w:divBdr>
        <w:top w:val="none" w:sz="0" w:space="0" w:color="auto"/>
        <w:left w:val="none" w:sz="0" w:space="0" w:color="auto"/>
        <w:bottom w:val="none" w:sz="0" w:space="0" w:color="auto"/>
        <w:right w:val="none" w:sz="0" w:space="0" w:color="auto"/>
      </w:divBdr>
    </w:div>
    <w:div w:id="742796117">
      <w:bodyDiv w:val="1"/>
      <w:marLeft w:val="0"/>
      <w:marRight w:val="0"/>
      <w:marTop w:val="0"/>
      <w:marBottom w:val="0"/>
      <w:divBdr>
        <w:top w:val="none" w:sz="0" w:space="0" w:color="auto"/>
        <w:left w:val="none" w:sz="0" w:space="0" w:color="auto"/>
        <w:bottom w:val="none" w:sz="0" w:space="0" w:color="auto"/>
        <w:right w:val="none" w:sz="0" w:space="0" w:color="auto"/>
      </w:divBdr>
      <w:divsChild>
        <w:div w:id="357046972">
          <w:marLeft w:val="1166"/>
          <w:marRight w:val="0"/>
          <w:marTop w:val="86"/>
          <w:marBottom w:val="0"/>
          <w:divBdr>
            <w:top w:val="none" w:sz="0" w:space="0" w:color="auto"/>
            <w:left w:val="none" w:sz="0" w:space="0" w:color="auto"/>
            <w:bottom w:val="none" w:sz="0" w:space="0" w:color="auto"/>
            <w:right w:val="none" w:sz="0" w:space="0" w:color="auto"/>
          </w:divBdr>
        </w:div>
      </w:divsChild>
    </w:div>
    <w:div w:id="792989838">
      <w:bodyDiv w:val="1"/>
      <w:marLeft w:val="0"/>
      <w:marRight w:val="0"/>
      <w:marTop w:val="0"/>
      <w:marBottom w:val="0"/>
      <w:divBdr>
        <w:top w:val="none" w:sz="0" w:space="0" w:color="auto"/>
        <w:left w:val="none" w:sz="0" w:space="0" w:color="auto"/>
        <w:bottom w:val="none" w:sz="0" w:space="0" w:color="auto"/>
        <w:right w:val="none" w:sz="0" w:space="0" w:color="auto"/>
      </w:divBdr>
      <w:divsChild>
        <w:div w:id="247615332">
          <w:marLeft w:val="1166"/>
          <w:marRight w:val="0"/>
          <w:marTop w:val="86"/>
          <w:marBottom w:val="0"/>
          <w:divBdr>
            <w:top w:val="none" w:sz="0" w:space="0" w:color="auto"/>
            <w:left w:val="none" w:sz="0" w:space="0" w:color="auto"/>
            <w:bottom w:val="none" w:sz="0" w:space="0" w:color="auto"/>
            <w:right w:val="none" w:sz="0" w:space="0" w:color="auto"/>
          </w:divBdr>
        </w:div>
        <w:div w:id="2030640108">
          <w:marLeft w:val="1800"/>
          <w:marRight w:val="0"/>
          <w:marTop w:val="86"/>
          <w:marBottom w:val="0"/>
          <w:divBdr>
            <w:top w:val="none" w:sz="0" w:space="0" w:color="auto"/>
            <w:left w:val="none" w:sz="0" w:space="0" w:color="auto"/>
            <w:bottom w:val="none" w:sz="0" w:space="0" w:color="auto"/>
            <w:right w:val="none" w:sz="0" w:space="0" w:color="auto"/>
          </w:divBdr>
        </w:div>
      </w:divsChild>
    </w:div>
    <w:div w:id="87558417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03">
          <w:marLeft w:val="1800"/>
          <w:marRight w:val="0"/>
          <w:marTop w:val="86"/>
          <w:marBottom w:val="0"/>
          <w:divBdr>
            <w:top w:val="none" w:sz="0" w:space="0" w:color="auto"/>
            <w:left w:val="none" w:sz="0" w:space="0" w:color="auto"/>
            <w:bottom w:val="none" w:sz="0" w:space="0" w:color="auto"/>
            <w:right w:val="none" w:sz="0" w:space="0" w:color="auto"/>
          </w:divBdr>
        </w:div>
      </w:divsChild>
    </w:div>
    <w:div w:id="901451283">
      <w:bodyDiv w:val="1"/>
      <w:marLeft w:val="0"/>
      <w:marRight w:val="0"/>
      <w:marTop w:val="0"/>
      <w:marBottom w:val="0"/>
      <w:divBdr>
        <w:top w:val="none" w:sz="0" w:space="0" w:color="auto"/>
        <w:left w:val="none" w:sz="0" w:space="0" w:color="auto"/>
        <w:bottom w:val="none" w:sz="0" w:space="0" w:color="auto"/>
        <w:right w:val="none" w:sz="0" w:space="0" w:color="auto"/>
      </w:divBdr>
    </w:div>
    <w:div w:id="1013455996">
      <w:bodyDiv w:val="1"/>
      <w:marLeft w:val="0"/>
      <w:marRight w:val="0"/>
      <w:marTop w:val="0"/>
      <w:marBottom w:val="0"/>
      <w:divBdr>
        <w:top w:val="none" w:sz="0" w:space="0" w:color="auto"/>
        <w:left w:val="none" w:sz="0" w:space="0" w:color="auto"/>
        <w:bottom w:val="none" w:sz="0" w:space="0" w:color="auto"/>
        <w:right w:val="none" w:sz="0" w:space="0" w:color="auto"/>
      </w:divBdr>
    </w:div>
    <w:div w:id="1199053115">
      <w:bodyDiv w:val="1"/>
      <w:marLeft w:val="0"/>
      <w:marRight w:val="0"/>
      <w:marTop w:val="0"/>
      <w:marBottom w:val="0"/>
      <w:divBdr>
        <w:top w:val="none" w:sz="0" w:space="0" w:color="auto"/>
        <w:left w:val="none" w:sz="0" w:space="0" w:color="auto"/>
        <w:bottom w:val="none" w:sz="0" w:space="0" w:color="auto"/>
        <w:right w:val="none" w:sz="0" w:space="0" w:color="auto"/>
      </w:divBdr>
    </w:div>
    <w:div w:id="1237981292">
      <w:bodyDiv w:val="1"/>
      <w:marLeft w:val="0"/>
      <w:marRight w:val="0"/>
      <w:marTop w:val="0"/>
      <w:marBottom w:val="0"/>
      <w:divBdr>
        <w:top w:val="none" w:sz="0" w:space="0" w:color="auto"/>
        <w:left w:val="none" w:sz="0" w:space="0" w:color="auto"/>
        <w:bottom w:val="none" w:sz="0" w:space="0" w:color="auto"/>
        <w:right w:val="none" w:sz="0" w:space="0" w:color="auto"/>
      </w:divBdr>
    </w:div>
    <w:div w:id="1272083521">
      <w:bodyDiv w:val="1"/>
      <w:marLeft w:val="0"/>
      <w:marRight w:val="0"/>
      <w:marTop w:val="0"/>
      <w:marBottom w:val="0"/>
      <w:divBdr>
        <w:top w:val="none" w:sz="0" w:space="0" w:color="auto"/>
        <w:left w:val="none" w:sz="0" w:space="0" w:color="auto"/>
        <w:bottom w:val="none" w:sz="0" w:space="0" w:color="auto"/>
        <w:right w:val="none" w:sz="0" w:space="0" w:color="auto"/>
      </w:divBdr>
    </w:div>
    <w:div w:id="1361122518">
      <w:bodyDiv w:val="1"/>
      <w:marLeft w:val="0"/>
      <w:marRight w:val="0"/>
      <w:marTop w:val="0"/>
      <w:marBottom w:val="0"/>
      <w:divBdr>
        <w:top w:val="none" w:sz="0" w:space="0" w:color="auto"/>
        <w:left w:val="none" w:sz="0" w:space="0" w:color="auto"/>
        <w:bottom w:val="none" w:sz="0" w:space="0" w:color="auto"/>
        <w:right w:val="none" w:sz="0" w:space="0" w:color="auto"/>
      </w:divBdr>
    </w:div>
    <w:div w:id="1376127109">
      <w:bodyDiv w:val="1"/>
      <w:marLeft w:val="0"/>
      <w:marRight w:val="0"/>
      <w:marTop w:val="0"/>
      <w:marBottom w:val="0"/>
      <w:divBdr>
        <w:top w:val="none" w:sz="0" w:space="0" w:color="auto"/>
        <w:left w:val="none" w:sz="0" w:space="0" w:color="auto"/>
        <w:bottom w:val="none" w:sz="0" w:space="0" w:color="auto"/>
        <w:right w:val="none" w:sz="0" w:space="0" w:color="auto"/>
      </w:divBdr>
    </w:div>
    <w:div w:id="1407149538">
      <w:bodyDiv w:val="1"/>
      <w:marLeft w:val="0"/>
      <w:marRight w:val="0"/>
      <w:marTop w:val="0"/>
      <w:marBottom w:val="0"/>
      <w:divBdr>
        <w:top w:val="none" w:sz="0" w:space="0" w:color="auto"/>
        <w:left w:val="none" w:sz="0" w:space="0" w:color="auto"/>
        <w:bottom w:val="none" w:sz="0" w:space="0" w:color="auto"/>
        <w:right w:val="none" w:sz="0" w:space="0" w:color="auto"/>
      </w:divBdr>
    </w:div>
    <w:div w:id="1420128917">
      <w:bodyDiv w:val="1"/>
      <w:marLeft w:val="0"/>
      <w:marRight w:val="0"/>
      <w:marTop w:val="0"/>
      <w:marBottom w:val="0"/>
      <w:divBdr>
        <w:top w:val="none" w:sz="0" w:space="0" w:color="auto"/>
        <w:left w:val="none" w:sz="0" w:space="0" w:color="auto"/>
        <w:bottom w:val="none" w:sz="0" w:space="0" w:color="auto"/>
        <w:right w:val="none" w:sz="0" w:space="0" w:color="auto"/>
      </w:divBdr>
    </w:div>
    <w:div w:id="1500730918">
      <w:bodyDiv w:val="1"/>
      <w:marLeft w:val="0"/>
      <w:marRight w:val="0"/>
      <w:marTop w:val="0"/>
      <w:marBottom w:val="0"/>
      <w:divBdr>
        <w:top w:val="none" w:sz="0" w:space="0" w:color="auto"/>
        <w:left w:val="none" w:sz="0" w:space="0" w:color="auto"/>
        <w:bottom w:val="none" w:sz="0" w:space="0" w:color="auto"/>
        <w:right w:val="none" w:sz="0" w:space="0" w:color="auto"/>
      </w:divBdr>
      <w:divsChild>
        <w:div w:id="867835178">
          <w:marLeft w:val="1166"/>
          <w:marRight w:val="0"/>
          <w:marTop w:val="86"/>
          <w:marBottom w:val="0"/>
          <w:divBdr>
            <w:top w:val="none" w:sz="0" w:space="0" w:color="auto"/>
            <w:left w:val="none" w:sz="0" w:space="0" w:color="auto"/>
            <w:bottom w:val="none" w:sz="0" w:space="0" w:color="auto"/>
            <w:right w:val="none" w:sz="0" w:space="0" w:color="auto"/>
          </w:divBdr>
        </w:div>
      </w:divsChild>
    </w:div>
    <w:div w:id="1525174481">
      <w:bodyDiv w:val="1"/>
      <w:marLeft w:val="0"/>
      <w:marRight w:val="0"/>
      <w:marTop w:val="0"/>
      <w:marBottom w:val="0"/>
      <w:divBdr>
        <w:top w:val="none" w:sz="0" w:space="0" w:color="auto"/>
        <w:left w:val="none" w:sz="0" w:space="0" w:color="auto"/>
        <w:bottom w:val="none" w:sz="0" w:space="0" w:color="auto"/>
        <w:right w:val="none" w:sz="0" w:space="0" w:color="auto"/>
      </w:divBdr>
      <w:divsChild>
        <w:div w:id="72364658">
          <w:marLeft w:val="1166"/>
          <w:marRight w:val="0"/>
          <w:marTop w:val="86"/>
          <w:marBottom w:val="0"/>
          <w:divBdr>
            <w:top w:val="none" w:sz="0" w:space="0" w:color="auto"/>
            <w:left w:val="none" w:sz="0" w:space="0" w:color="auto"/>
            <w:bottom w:val="none" w:sz="0" w:space="0" w:color="auto"/>
            <w:right w:val="none" w:sz="0" w:space="0" w:color="auto"/>
          </w:divBdr>
        </w:div>
        <w:div w:id="1620141553">
          <w:marLeft w:val="547"/>
          <w:marRight w:val="0"/>
          <w:marTop w:val="115"/>
          <w:marBottom w:val="0"/>
          <w:divBdr>
            <w:top w:val="none" w:sz="0" w:space="0" w:color="auto"/>
            <w:left w:val="none" w:sz="0" w:space="0" w:color="auto"/>
            <w:bottom w:val="none" w:sz="0" w:space="0" w:color="auto"/>
            <w:right w:val="none" w:sz="0" w:space="0" w:color="auto"/>
          </w:divBdr>
        </w:div>
        <w:div w:id="1719279204">
          <w:marLeft w:val="1800"/>
          <w:marRight w:val="0"/>
          <w:marTop w:val="86"/>
          <w:marBottom w:val="0"/>
          <w:divBdr>
            <w:top w:val="none" w:sz="0" w:space="0" w:color="auto"/>
            <w:left w:val="none" w:sz="0" w:space="0" w:color="auto"/>
            <w:bottom w:val="none" w:sz="0" w:space="0" w:color="auto"/>
            <w:right w:val="none" w:sz="0" w:space="0" w:color="auto"/>
          </w:divBdr>
        </w:div>
        <w:div w:id="1923639860">
          <w:marLeft w:val="1166"/>
          <w:marRight w:val="0"/>
          <w:marTop w:val="86"/>
          <w:marBottom w:val="0"/>
          <w:divBdr>
            <w:top w:val="none" w:sz="0" w:space="0" w:color="auto"/>
            <w:left w:val="none" w:sz="0" w:space="0" w:color="auto"/>
            <w:bottom w:val="none" w:sz="0" w:space="0" w:color="auto"/>
            <w:right w:val="none" w:sz="0" w:space="0" w:color="auto"/>
          </w:divBdr>
        </w:div>
        <w:div w:id="2138991389">
          <w:marLeft w:val="1800"/>
          <w:marRight w:val="0"/>
          <w:marTop w:val="86"/>
          <w:marBottom w:val="0"/>
          <w:divBdr>
            <w:top w:val="none" w:sz="0" w:space="0" w:color="auto"/>
            <w:left w:val="none" w:sz="0" w:space="0" w:color="auto"/>
            <w:bottom w:val="none" w:sz="0" w:space="0" w:color="auto"/>
            <w:right w:val="none" w:sz="0" w:space="0" w:color="auto"/>
          </w:divBdr>
        </w:div>
      </w:divsChild>
    </w:div>
    <w:div w:id="1649017951">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sChild>
        <w:div w:id="392462154">
          <w:marLeft w:val="1800"/>
          <w:marRight w:val="0"/>
          <w:marTop w:val="86"/>
          <w:marBottom w:val="0"/>
          <w:divBdr>
            <w:top w:val="none" w:sz="0" w:space="0" w:color="auto"/>
            <w:left w:val="none" w:sz="0" w:space="0" w:color="auto"/>
            <w:bottom w:val="none" w:sz="0" w:space="0" w:color="auto"/>
            <w:right w:val="none" w:sz="0" w:space="0" w:color="auto"/>
          </w:divBdr>
        </w:div>
        <w:div w:id="1050765693">
          <w:marLeft w:val="1166"/>
          <w:marRight w:val="0"/>
          <w:marTop w:val="86"/>
          <w:marBottom w:val="0"/>
          <w:divBdr>
            <w:top w:val="none" w:sz="0" w:space="0" w:color="auto"/>
            <w:left w:val="none" w:sz="0" w:space="0" w:color="auto"/>
            <w:bottom w:val="none" w:sz="0" w:space="0" w:color="auto"/>
            <w:right w:val="none" w:sz="0" w:space="0" w:color="auto"/>
          </w:divBdr>
        </w:div>
      </w:divsChild>
    </w:div>
    <w:div w:id="1680889139">
      <w:bodyDiv w:val="1"/>
      <w:marLeft w:val="0"/>
      <w:marRight w:val="0"/>
      <w:marTop w:val="0"/>
      <w:marBottom w:val="0"/>
      <w:divBdr>
        <w:top w:val="none" w:sz="0" w:space="0" w:color="auto"/>
        <w:left w:val="none" w:sz="0" w:space="0" w:color="auto"/>
        <w:bottom w:val="none" w:sz="0" w:space="0" w:color="auto"/>
        <w:right w:val="none" w:sz="0" w:space="0" w:color="auto"/>
      </w:divBdr>
    </w:div>
    <w:div w:id="1702627632">
      <w:bodyDiv w:val="1"/>
      <w:marLeft w:val="0"/>
      <w:marRight w:val="0"/>
      <w:marTop w:val="0"/>
      <w:marBottom w:val="0"/>
      <w:divBdr>
        <w:top w:val="none" w:sz="0" w:space="0" w:color="auto"/>
        <w:left w:val="none" w:sz="0" w:space="0" w:color="auto"/>
        <w:bottom w:val="none" w:sz="0" w:space="0" w:color="auto"/>
        <w:right w:val="none" w:sz="0" w:space="0" w:color="auto"/>
      </w:divBdr>
    </w:div>
    <w:div w:id="1711687513">
      <w:bodyDiv w:val="1"/>
      <w:marLeft w:val="0"/>
      <w:marRight w:val="0"/>
      <w:marTop w:val="0"/>
      <w:marBottom w:val="0"/>
      <w:divBdr>
        <w:top w:val="none" w:sz="0" w:space="0" w:color="auto"/>
        <w:left w:val="none" w:sz="0" w:space="0" w:color="auto"/>
        <w:bottom w:val="none" w:sz="0" w:space="0" w:color="auto"/>
        <w:right w:val="none" w:sz="0" w:space="0" w:color="auto"/>
      </w:divBdr>
    </w:div>
    <w:div w:id="1794011568">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6796751">
      <w:bodyDiv w:val="1"/>
      <w:marLeft w:val="0"/>
      <w:marRight w:val="0"/>
      <w:marTop w:val="0"/>
      <w:marBottom w:val="0"/>
      <w:divBdr>
        <w:top w:val="none" w:sz="0" w:space="0" w:color="auto"/>
        <w:left w:val="none" w:sz="0" w:space="0" w:color="auto"/>
        <w:bottom w:val="none" w:sz="0" w:space="0" w:color="auto"/>
        <w:right w:val="none" w:sz="0" w:space="0" w:color="auto"/>
      </w:divBdr>
    </w:div>
    <w:div w:id="1839032177">
      <w:bodyDiv w:val="1"/>
      <w:marLeft w:val="0"/>
      <w:marRight w:val="0"/>
      <w:marTop w:val="0"/>
      <w:marBottom w:val="0"/>
      <w:divBdr>
        <w:top w:val="none" w:sz="0" w:space="0" w:color="auto"/>
        <w:left w:val="none" w:sz="0" w:space="0" w:color="auto"/>
        <w:bottom w:val="none" w:sz="0" w:space="0" w:color="auto"/>
        <w:right w:val="none" w:sz="0" w:space="0" w:color="auto"/>
      </w:divBdr>
    </w:div>
    <w:div w:id="1941638109">
      <w:bodyDiv w:val="1"/>
      <w:marLeft w:val="0"/>
      <w:marRight w:val="0"/>
      <w:marTop w:val="0"/>
      <w:marBottom w:val="0"/>
      <w:divBdr>
        <w:top w:val="none" w:sz="0" w:space="0" w:color="auto"/>
        <w:left w:val="none" w:sz="0" w:space="0" w:color="auto"/>
        <w:bottom w:val="none" w:sz="0" w:space="0" w:color="auto"/>
        <w:right w:val="none" w:sz="0" w:space="0" w:color="auto"/>
      </w:divBdr>
    </w:div>
    <w:div w:id="214180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pub/irs-wd/1413005.pdf" TargetMode="External"/><Relationship Id="rId18" Type="http://schemas.openxmlformats.org/officeDocument/2006/relationships/hyperlink" Target="https://www.irs.gov/irb/2008-25_IR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rs.gov/pub/irs-drop/n-19-45.pdf" TargetMode="External"/><Relationship Id="rId17" Type="http://schemas.openxmlformats.org/officeDocument/2006/relationships/hyperlink" Target="https://www.irs.gov/irb/2004-33_IR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s.gov/irb/2004-02_IRB" TargetMode="External"/><Relationship Id="rId20" Type="http://schemas.openxmlformats.org/officeDocument/2006/relationships/hyperlink" Target="https://www.irs.gov/pub/irs-pdf/p96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drop/n-04-23.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irs.gov/irb/2008-29_IR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nefitcomply.com/resources/wp-content/uploads/2022/03/HSAContributionCalculations_2022-1.xls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AAA-3FD0-43A0-B3C1-B64D2BBA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C:\Program%20Files\Microsoft%20Office\Templates\1033\Manual.dot</Template>
  <TotalTime>1</TotalTime>
  <Pages>5</Pages>
  <Words>7684</Words>
  <Characters>43800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51382</CharactersWithSpaces>
  <SharedDoc>false</SharedDoc>
  <HLinks>
    <vt:vector size="138" baseType="variant">
      <vt:variant>
        <vt:i4>786521</vt:i4>
      </vt:variant>
      <vt:variant>
        <vt:i4>99</vt:i4>
      </vt:variant>
      <vt:variant>
        <vt:i4>0</vt:i4>
      </vt:variant>
      <vt:variant>
        <vt:i4>5</vt:i4>
      </vt:variant>
      <vt:variant>
        <vt:lpwstr>https://www.irs.gov/pub/irs-pdf/p969.pdf</vt:lpwstr>
      </vt:variant>
      <vt:variant>
        <vt:lpwstr/>
      </vt:variant>
      <vt:variant>
        <vt:i4>6357002</vt:i4>
      </vt:variant>
      <vt:variant>
        <vt:i4>96</vt:i4>
      </vt:variant>
      <vt:variant>
        <vt:i4>0</vt:i4>
      </vt:variant>
      <vt:variant>
        <vt:i4>5</vt:i4>
      </vt:variant>
      <vt:variant>
        <vt:lpwstr>https://www.irs.gov/irb/2008-29_IRB</vt:lpwstr>
      </vt:variant>
      <vt:variant>
        <vt:lpwstr>NOT-2008-59</vt:lpwstr>
      </vt:variant>
      <vt:variant>
        <vt:i4>6356998</vt:i4>
      </vt:variant>
      <vt:variant>
        <vt:i4>93</vt:i4>
      </vt:variant>
      <vt:variant>
        <vt:i4>0</vt:i4>
      </vt:variant>
      <vt:variant>
        <vt:i4>5</vt:i4>
      </vt:variant>
      <vt:variant>
        <vt:lpwstr>https://www.irs.gov/irb/2008-25_IRB</vt:lpwstr>
      </vt:variant>
      <vt:variant>
        <vt:lpwstr>NOT-2008-52</vt:lpwstr>
      </vt:variant>
      <vt:variant>
        <vt:i4>6291456</vt:i4>
      </vt:variant>
      <vt:variant>
        <vt:i4>90</vt:i4>
      </vt:variant>
      <vt:variant>
        <vt:i4>0</vt:i4>
      </vt:variant>
      <vt:variant>
        <vt:i4>5</vt:i4>
      </vt:variant>
      <vt:variant>
        <vt:lpwstr>https://www.irs.gov/irb/2004-33_IRB</vt:lpwstr>
      </vt:variant>
      <vt:variant>
        <vt:lpwstr>NOT-2004-50</vt:lpwstr>
      </vt:variant>
      <vt:variant>
        <vt:i4>6553601</vt:i4>
      </vt:variant>
      <vt:variant>
        <vt:i4>87</vt:i4>
      </vt:variant>
      <vt:variant>
        <vt:i4>0</vt:i4>
      </vt:variant>
      <vt:variant>
        <vt:i4>5</vt:i4>
      </vt:variant>
      <vt:variant>
        <vt:lpwstr>https://www.irs.gov/irb/2004-02_IRB</vt:lpwstr>
      </vt:variant>
      <vt:variant>
        <vt:lpwstr>NOT-2004-2</vt:lpwstr>
      </vt:variant>
      <vt:variant>
        <vt:i4>589846</vt:i4>
      </vt:variant>
      <vt:variant>
        <vt:i4>84</vt:i4>
      </vt:variant>
      <vt:variant>
        <vt:i4>0</vt:i4>
      </vt:variant>
      <vt:variant>
        <vt:i4>5</vt:i4>
      </vt:variant>
      <vt:variant>
        <vt:lpwstr/>
      </vt:variant>
      <vt:variant>
        <vt:lpwstr>AppendixC</vt:lpwstr>
      </vt:variant>
      <vt:variant>
        <vt:i4>8257564</vt:i4>
      </vt:variant>
      <vt:variant>
        <vt:i4>81</vt:i4>
      </vt:variant>
      <vt:variant>
        <vt:i4>0</vt:i4>
      </vt:variant>
      <vt:variant>
        <vt:i4>5</vt:i4>
      </vt:variant>
      <vt:variant>
        <vt:lpwstr>http://www.benefitcomply.com/resources/wp-content/uploads/2022/03/HSAContributionCalculations_2022-1.xlsx</vt:lpwstr>
      </vt:variant>
      <vt:variant>
        <vt:lpwstr/>
      </vt:variant>
      <vt:variant>
        <vt:i4>589846</vt:i4>
      </vt:variant>
      <vt:variant>
        <vt:i4>78</vt:i4>
      </vt:variant>
      <vt:variant>
        <vt:i4>0</vt:i4>
      </vt:variant>
      <vt:variant>
        <vt:i4>5</vt:i4>
      </vt:variant>
      <vt:variant>
        <vt:lpwstr/>
      </vt:variant>
      <vt:variant>
        <vt:lpwstr>AppendixB</vt:lpwstr>
      </vt:variant>
      <vt:variant>
        <vt:i4>589846</vt:i4>
      </vt:variant>
      <vt:variant>
        <vt:i4>75</vt:i4>
      </vt:variant>
      <vt:variant>
        <vt:i4>0</vt:i4>
      </vt:variant>
      <vt:variant>
        <vt:i4>5</vt:i4>
      </vt:variant>
      <vt:variant>
        <vt:lpwstr/>
      </vt:variant>
      <vt:variant>
        <vt:lpwstr>AppendixA</vt:lpwstr>
      </vt:variant>
      <vt:variant>
        <vt:i4>2490470</vt:i4>
      </vt:variant>
      <vt:variant>
        <vt:i4>72</vt:i4>
      </vt:variant>
      <vt:variant>
        <vt:i4>0</vt:i4>
      </vt:variant>
      <vt:variant>
        <vt:i4>5</vt:i4>
      </vt:variant>
      <vt:variant>
        <vt:lpwstr>https://www.irs.gov/pub/irs-wd/1413005.pdf</vt:lpwstr>
      </vt:variant>
      <vt:variant>
        <vt:lpwstr/>
      </vt:variant>
      <vt:variant>
        <vt:i4>131085</vt:i4>
      </vt:variant>
      <vt:variant>
        <vt:i4>69</vt:i4>
      </vt:variant>
      <vt:variant>
        <vt:i4>0</vt:i4>
      </vt:variant>
      <vt:variant>
        <vt:i4>5</vt:i4>
      </vt:variant>
      <vt:variant>
        <vt:lpwstr>https://www.irs.gov/pub/irs-drop/n-19-45.pdf</vt:lpwstr>
      </vt:variant>
      <vt:variant>
        <vt:lpwstr/>
      </vt:variant>
      <vt:variant>
        <vt:i4>327686</vt:i4>
      </vt:variant>
      <vt:variant>
        <vt:i4>66</vt:i4>
      </vt:variant>
      <vt:variant>
        <vt:i4>0</vt:i4>
      </vt:variant>
      <vt:variant>
        <vt:i4>5</vt:i4>
      </vt:variant>
      <vt:variant>
        <vt:lpwstr>https://www.irs.gov/pub/irs-drop/n-04-23.pdf</vt:lpwstr>
      </vt:variant>
      <vt:variant>
        <vt:lpwstr/>
      </vt:variant>
      <vt:variant>
        <vt:i4>589846</vt:i4>
      </vt:variant>
      <vt:variant>
        <vt:i4>63</vt:i4>
      </vt:variant>
      <vt:variant>
        <vt:i4>0</vt:i4>
      </vt:variant>
      <vt:variant>
        <vt:i4>5</vt:i4>
      </vt:variant>
      <vt:variant>
        <vt:lpwstr/>
      </vt:variant>
      <vt:variant>
        <vt:lpwstr>AppendixA</vt:lpwstr>
      </vt:variant>
      <vt:variant>
        <vt:i4>2031665</vt:i4>
      </vt:variant>
      <vt:variant>
        <vt:i4>56</vt:i4>
      </vt:variant>
      <vt:variant>
        <vt:i4>0</vt:i4>
      </vt:variant>
      <vt:variant>
        <vt:i4>5</vt:i4>
      </vt:variant>
      <vt:variant>
        <vt:lpwstr/>
      </vt:variant>
      <vt:variant>
        <vt:lpwstr>_Toc510627683</vt:lpwstr>
      </vt:variant>
      <vt:variant>
        <vt:i4>2031665</vt:i4>
      </vt:variant>
      <vt:variant>
        <vt:i4>50</vt:i4>
      </vt:variant>
      <vt:variant>
        <vt:i4>0</vt:i4>
      </vt:variant>
      <vt:variant>
        <vt:i4>5</vt:i4>
      </vt:variant>
      <vt:variant>
        <vt:lpwstr/>
      </vt:variant>
      <vt:variant>
        <vt:lpwstr>_Toc510627682</vt:lpwstr>
      </vt:variant>
      <vt:variant>
        <vt:i4>2031665</vt:i4>
      </vt:variant>
      <vt:variant>
        <vt:i4>44</vt:i4>
      </vt:variant>
      <vt:variant>
        <vt:i4>0</vt:i4>
      </vt:variant>
      <vt:variant>
        <vt:i4>5</vt:i4>
      </vt:variant>
      <vt:variant>
        <vt:lpwstr/>
      </vt:variant>
      <vt:variant>
        <vt:lpwstr>_Toc510627681</vt:lpwstr>
      </vt:variant>
      <vt:variant>
        <vt:i4>2031665</vt:i4>
      </vt:variant>
      <vt:variant>
        <vt:i4>38</vt:i4>
      </vt:variant>
      <vt:variant>
        <vt:i4>0</vt:i4>
      </vt:variant>
      <vt:variant>
        <vt:i4>5</vt:i4>
      </vt:variant>
      <vt:variant>
        <vt:lpwstr/>
      </vt:variant>
      <vt:variant>
        <vt:lpwstr>_Toc510627680</vt:lpwstr>
      </vt:variant>
      <vt:variant>
        <vt:i4>1048625</vt:i4>
      </vt:variant>
      <vt:variant>
        <vt:i4>32</vt:i4>
      </vt:variant>
      <vt:variant>
        <vt:i4>0</vt:i4>
      </vt:variant>
      <vt:variant>
        <vt:i4>5</vt:i4>
      </vt:variant>
      <vt:variant>
        <vt:lpwstr/>
      </vt:variant>
      <vt:variant>
        <vt:lpwstr>_Toc510627679</vt:lpwstr>
      </vt:variant>
      <vt:variant>
        <vt:i4>1048625</vt:i4>
      </vt:variant>
      <vt:variant>
        <vt:i4>26</vt:i4>
      </vt:variant>
      <vt:variant>
        <vt:i4>0</vt:i4>
      </vt:variant>
      <vt:variant>
        <vt:i4>5</vt:i4>
      </vt:variant>
      <vt:variant>
        <vt:lpwstr/>
      </vt:variant>
      <vt:variant>
        <vt:lpwstr>_Toc510627678</vt:lpwstr>
      </vt:variant>
      <vt:variant>
        <vt:i4>1048625</vt:i4>
      </vt:variant>
      <vt:variant>
        <vt:i4>20</vt:i4>
      </vt:variant>
      <vt:variant>
        <vt:i4>0</vt:i4>
      </vt:variant>
      <vt:variant>
        <vt:i4>5</vt:i4>
      </vt:variant>
      <vt:variant>
        <vt:lpwstr/>
      </vt:variant>
      <vt:variant>
        <vt:lpwstr>_Toc510627677</vt:lpwstr>
      </vt:variant>
      <vt:variant>
        <vt:i4>1048625</vt:i4>
      </vt:variant>
      <vt:variant>
        <vt:i4>14</vt:i4>
      </vt:variant>
      <vt:variant>
        <vt:i4>0</vt:i4>
      </vt:variant>
      <vt:variant>
        <vt:i4>5</vt:i4>
      </vt:variant>
      <vt:variant>
        <vt:lpwstr/>
      </vt:variant>
      <vt:variant>
        <vt:lpwstr>_Toc510627676</vt:lpwstr>
      </vt:variant>
      <vt:variant>
        <vt:i4>1048625</vt:i4>
      </vt:variant>
      <vt:variant>
        <vt:i4>8</vt:i4>
      </vt:variant>
      <vt:variant>
        <vt:i4>0</vt:i4>
      </vt:variant>
      <vt:variant>
        <vt:i4>5</vt:i4>
      </vt:variant>
      <vt:variant>
        <vt:lpwstr/>
      </vt:variant>
      <vt:variant>
        <vt:lpwstr>_Toc510627675</vt:lpwstr>
      </vt:variant>
      <vt:variant>
        <vt:i4>1048625</vt:i4>
      </vt:variant>
      <vt:variant>
        <vt:i4>2</vt:i4>
      </vt:variant>
      <vt:variant>
        <vt:i4>0</vt:i4>
      </vt:variant>
      <vt:variant>
        <vt:i4>5</vt:i4>
      </vt:variant>
      <vt:variant>
        <vt:lpwstr/>
      </vt:variant>
      <vt:variant>
        <vt:lpwstr>_Toc510627674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Bob Radecki</dc:creator>
  <cp:keywords/>
  <dc:description/>
  <cp:lastModifiedBy>Anthony Radecki</cp:lastModifiedBy>
  <cp:revision>2</cp:revision>
  <cp:lastPrinted>2018-04-03T20:14:00Z</cp:lastPrinted>
  <dcterms:created xsi:type="dcterms:W3CDTF">2022-09-14T18:53:00Z</dcterms:created>
  <dcterms:modified xsi:type="dcterms:W3CDTF">2022-09-14T18:53:00Z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